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07" w:type="pct"/>
        <w:tblBorders>
          <w:top w:val="triple" w:sz="4" w:space="0" w:color="1F3864" w:themeColor="accent1" w:themeShade="80"/>
          <w:left w:val="triple" w:sz="4" w:space="0" w:color="1F3864" w:themeColor="accent1" w:themeShade="80"/>
          <w:bottom w:val="triple" w:sz="4" w:space="0" w:color="1F3864" w:themeColor="accent1" w:themeShade="80"/>
          <w:right w:val="triple" w:sz="4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4754"/>
        <w:gridCol w:w="4402"/>
      </w:tblGrid>
      <w:tr w:rsidR="00691C12" w:rsidRPr="000B06F4" w14:paraId="6F7243BD" w14:textId="77777777" w:rsidTr="00CD48F9">
        <w:trPr>
          <w:trHeight w:val="861"/>
        </w:trPr>
        <w:tc>
          <w:tcPr>
            <w:tcW w:w="25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85C4440" w14:textId="77777777" w:rsidR="00691C12" w:rsidRDefault="00691C12" w:rsidP="00CD48F9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  <w:r w:rsidRPr="00867E6F">
              <w:rPr>
                <w:rFonts w:ascii="Ubuntu" w:hAnsi="Ubuntu"/>
                <w:noProof/>
                <w:color w:val="333333"/>
                <w:sz w:val="21"/>
                <w:szCs w:val="21"/>
              </w:rPr>
              <w:drawing>
                <wp:inline distT="0" distB="0" distL="0" distR="0" wp14:anchorId="0D9D9AA8" wp14:editId="7242CF35">
                  <wp:extent cx="2783064" cy="243840"/>
                  <wp:effectExtent l="0" t="0" r="0" b="3810"/>
                  <wp:docPr id="15" name="Picture 15" descr="C:\Users\neckart\AppData\Local\Microsoft\Windows\Temporary Internet Files\Content.Outlook\JM2GYFB0\2color_one li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eckart\AppData\Local\Microsoft\Windows\Temporary Internet Files\Content.Outlook\JM2GYFB0\2color_one li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6180" cy="253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B32790" w14:textId="77777777" w:rsidR="00691C12" w:rsidRPr="00D269A6" w:rsidRDefault="00691C12" w:rsidP="00CD48F9">
            <w:pPr>
              <w:suppressAutoHyphens/>
              <w:spacing w:after="120"/>
              <w:ind w:right="-720"/>
              <w:rPr>
                <w:rFonts w:asciiTheme="minorHAnsi" w:hAnsiTheme="minorHAnsi" w:cstheme="minorHAnsi"/>
                <w:color w:val="323E4F" w:themeColor="text2" w:themeShade="BF"/>
                <w:spacing w:val="-3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323E4F" w:themeColor="text2" w:themeShade="BF"/>
                <w:spacing w:val="-3"/>
                <w:sz w:val="18"/>
                <w:szCs w:val="18"/>
              </w:rPr>
              <w:t xml:space="preserve">  </w:t>
            </w:r>
            <w:r w:rsidRPr="00B57D6E">
              <w:rPr>
                <w:rFonts w:asciiTheme="minorHAnsi" w:hAnsiTheme="minorHAnsi" w:cstheme="minorHAnsi"/>
                <w:color w:val="323E4F" w:themeColor="text2" w:themeShade="BF"/>
                <w:spacing w:val="-3"/>
                <w:sz w:val="18"/>
                <w:szCs w:val="18"/>
              </w:rPr>
              <w:t>P.O. BOX</w:t>
            </w:r>
            <w:r>
              <w:rPr>
                <w:rFonts w:asciiTheme="minorHAnsi" w:hAnsiTheme="minorHAnsi" w:cstheme="minorHAnsi"/>
                <w:color w:val="323E4F" w:themeColor="text2" w:themeShade="BF"/>
                <w:spacing w:val="-3"/>
                <w:sz w:val="18"/>
                <w:szCs w:val="18"/>
              </w:rPr>
              <w:t xml:space="preserve"> 9046, OL</w:t>
            </w:r>
            <w:r w:rsidRPr="00B57D6E">
              <w:rPr>
                <w:rFonts w:asciiTheme="minorHAnsi" w:hAnsiTheme="minorHAnsi" w:cstheme="minorHAnsi"/>
                <w:color w:val="323E4F" w:themeColor="text2" w:themeShade="BF"/>
                <w:spacing w:val="-3"/>
                <w:sz w:val="18"/>
                <w:szCs w:val="18"/>
              </w:rPr>
              <w:t>YMPIA, WASHINGTON 98507-9046</w:t>
            </w:r>
          </w:p>
        </w:tc>
        <w:tc>
          <w:tcPr>
            <w:tcW w:w="24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20190C3" w14:textId="5DE9918B" w:rsidR="00691C12" w:rsidRPr="00374DAA" w:rsidRDefault="00691C12" w:rsidP="00CD48F9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8238C7">
              <w:rPr>
                <w:rFonts w:ascii="Arial" w:hAnsi="Arial" w:cs="Arial"/>
                <w:b/>
                <w:sz w:val="28"/>
                <w:szCs w:val="20"/>
              </w:rPr>
              <w:t>REQUEST FOR PROPOSAL</w:t>
            </w:r>
            <w:r w:rsidRPr="00FD73D9">
              <w:rPr>
                <w:rFonts w:ascii="Arial" w:hAnsi="Arial" w:cs="Arial"/>
                <w:b/>
                <w:szCs w:val="22"/>
              </w:rPr>
              <w:t xml:space="preserve"> #2022-</w:t>
            </w:r>
            <w:r w:rsidR="008204A2">
              <w:rPr>
                <w:rFonts w:ascii="Arial" w:hAnsi="Arial" w:cs="Arial"/>
                <w:b/>
                <w:szCs w:val="22"/>
              </w:rPr>
              <w:t>17</w:t>
            </w:r>
          </w:p>
          <w:p w14:paraId="611B4D53" w14:textId="77777777" w:rsidR="00691C12" w:rsidRPr="000B06F4" w:rsidRDefault="00691C12" w:rsidP="00CD48F9">
            <w:pPr>
              <w:spacing w:line="276" w:lineRule="auto"/>
              <w:ind w:left="702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06999BE9" w14:textId="77777777" w:rsidR="00691C12" w:rsidRDefault="00691C12" w:rsidP="00691C12">
      <w:pPr>
        <w:spacing w:after="120" w:line="276" w:lineRule="auto"/>
        <w:rPr>
          <w:rFonts w:ascii="Arial" w:hAnsi="Arial" w:cs="Arial"/>
          <w:b/>
          <w:sz w:val="28"/>
          <w:szCs w:val="20"/>
        </w:rPr>
      </w:pPr>
    </w:p>
    <w:p w14:paraId="213AC448" w14:textId="7054848A" w:rsidR="00691C12" w:rsidRPr="008238C7" w:rsidRDefault="00691C12" w:rsidP="00691C12">
      <w:pPr>
        <w:rPr>
          <w:rFonts w:ascii="Arial" w:hAnsi="Arial" w:cs="Arial"/>
        </w:rPr>
      </w:pPr>
      <w:r w:rsidRPr="008238C7">
        <w:rPr>
          <w:rFonts w:ascii="Arial" w:hAnsi="Arial" w:cs="Arial"/>
          <w:b/>
          <w:u w:val="single"/>
        </w:rPr>
        <w:t>PROJECT TITLE</w:t>
      </w:r>
      <w:r w:rsidRPr="008238C7">
        <w:rPr>
          <w:rFonts w:ascii="Arial" w:hAnsi="Arial" w:cs="Arial"/>
        </w:rPr>
        <w:t xml:space="preserve">: CCW </w:t>
      </w:r>
      <w:r w:rsidR="000456AB">
        <w:rPr>
          <w:rFonts w:ascii="Arial" w:hAnsi="Arial" w:cs="Arial"/>
        </w:rPr>
        <w:t xml:space="preserve">Program </w:t>
      </w:r>
      <w:r w:rsidR="008204A2">
        <w:rPr>
          <w:rFonts w:ascii="Arial" w:hAnsi="Arial" w:cs="Arial"/>
        </w:rPr>
        <w:t>Builder</w:t>
      </w:r>
      <w:r w:rsidRPr="008238C7">
        <w:rPr>
          <w:rFonts w:ascii="Arial" w:hAnsi="Arial" w:cs="Arial"/>
        </w:rPr>
        <w:t xml:space="preserve"> Funding Round </w:t>
      </w:r>
      <w:r w:rsidR="008204A2">
        <w:rPr>
          <w:rFonts w:ascii="Arial" w:hAnsi="Arial" w:cs="Arial"/>
        </w:rPr>
        <w:t>9</w:t>
      </w:r>
    </w:p>
    <w:p w14:paraId="22BF5124" w14:textId="4C63A88C" w:rsidR="008B030D" w:rsidRDefault="008B030D"/>
    <w:p w14:paraId="2AFD857A" w14:textId="637688CB" w:rsidR="00691C12" w:rsidRPr="008238C7" w:rsidRDefault="00691C12" w:rsidP="00691C12">
      <w:pPr>
        <w:spacing w:before="120" w:after="240"/>
        <w:rPr>
          <w:rFonts w:ascii="Arial" w:hAnsi="Arial" w:cs="Arial"/>
          <w:sz w:val="22"/>
          <w:szCs w:val="22"/>
        </w:rPr>
      </w:pPr>
      <w:r w:rsidRPr="008238C7">
        <w:rPr>
          <w:rFonts w:ascii="Arial" w:eastAsia="Calibri" w:hAnsi="Arial" w:cs="Arial"/>
          <w:b/>
          <w:color w:val="000000"/>
          <w:sz w:val="22"/>
          <w:szCs w:val="22"/>
        </w:rPr>
        <w:t>BRIEF DESCRIPTION</w:t>
      </w:r>
      <w:r w:rsidRPr="008238C7">
        <w:rPr>
          <w:rFonts w:ascii="Arial" w:eastAsia="Calibri" w:hAnsi="Arial" w:cs="Arial"/>
          <w:color w:val="000000"/>
          <w:sz w:val="22"/>
          <w:szCs w:val="22"/>
        </w:rPr>
        <w:t xml:space="preserve">:  </w:t>
      </w:r>
      <w:r w:rsidRPr="008238C7">
        <w:rPr>
          <w:rFonts w:ascii="Arial" w:hAnsi="Arial" w:cs="Arial"/>
          <w:sz w:val="22"/>
          <w:szCs w:val="22"/>
        </w:rPr>
        <w:t xml:space="preserve">To establish Career Connect Washington </w:t>
      </w:r>
      <w:r w:rsidR="008204A2">
        <w:rPr>
          <w:rFonts w:ascii="Arial" w:hAnsi="Arial" w:cs="Arial"/>
          <w:sz w:val="22"/>
          <w:szCs w:val="22"/>
        </w:rPr>
        <w:t xml:space="preserve">(CCW) </w:t>
      </w:r>
      <w:r w:rsidRPr="008238C7">
        <w:rPr>
          <w:rFonts w:ascii="Arial" w:hAnsi="Arial" w:cs="Arial"/>
          <w:sz w:val="22"/>
          <w:szCs w:val="22"/>
        </w:rPr>
        <w:t xml:space="preserve">Program </w:t>
      </w:r>
      <w:r w:rsidR="008204A2">
        <w:rPr>
          <w:rFonts w:ascii="Arial" w:hAnsi="Arial" w:cs="Arial"/>
          <w:sz w:val="22"/>
          <w:szCs w:val="22"/>
        </w:rPr>
        <w:t>Builder Funding Round 9</w:t>
      </w:r>
      <w:r w:rsidRPr="008238C7">
        <w:rPr>
          <w:rFonts w:ascii="Arial" w:hAnsi="Arial" w:cs="Arial"/>
          <w:sz w:val="22"/>
          <w:szCs w:val="22"/>
        </w:rPr>
        <w:t xml:space="preserve"> to develop industry-aligned programs for Career Connected Learning </w:t>
      </w:r>
      <w:r w:rsidR="008204A2">
        <w:rPr>
          <w:rFonts w:ascii="Arial" w:hAnsi="Arial" w:cs="Arial"/>
          <w:sz w:val="22"/>
          <w:szCs w:val="22"/>
        </w:rPr>
        <w:t xml:space="preserve">(CCL) </w:t>
      </w:r>
      <w:r w:rsidRPr="008238C7">
        <w:rPr>
          <w:rFonts w:ascii="Arial" w:hAnsi="Arial" w:cs="Arial"/>
          <w:sz w:val="22"/>
          <w:szCs w:val="22"/>
        </w:rPr>
        <w:t>opportunities in targeted counties</w:t>
      </w:r>
      <w:r w:rsidR="00615023">
        <w:rPr>
          <w:rFonts w:ascii="Arial" w:hAnsi="Arial" w:cs="Arial"/>
          <w:sz w:val="22"/>
          <w:szCs w:val="22"/>
        </w:rPr>
        <w:t>.</w:t>
      </w:r>
    </w:p>
    <w:p w14:paraId="6589FD61" w14:textId="77777777" w:rsidR="00691C12" w:rsidRPr="00691C12" w:rsidRDefault="00691C12" w:rsidP="00691C12">
      <w:pPr>
        <w:overflowPunct/>
        <w:autoSpaceDE/>
        <w:autoSpaceDN/>
        <w:adjustRightInd/>
        <w:spacing w:before="120"/>
        <w:ind w:left="360" w:hanging="360"/>
        <w:textAlignment w:val="auto"/>
        <w:outlineLvl w:val="1"/>
        <w:rPr>
          <w:rFonts w:ascii="Arial" w:hAnsi="Arial" w:cs="Arial"/>
          <w:b/>
          <w:bCs/>
          <w:caps/>
          <w:sz w:val="22"/>
          <w:szCs w:val="22"/>
          <w:lang w:bidi="en-US"/>
        </w:rPr>
      </w:pPr>
      <w:r w:rsidRPr="00691C12">
        <w:rPr>
          <w:rFonts w:ascii="Arial" w:hAnsi="Arial" w:cs="Arial"/>
          <w:b/>
          <w:bCs/>
          <w:caps/>
          <w:sz w:val="22"/>
          <w:szCs w:val="22"/>
          <w:lang w:bidi="en-US"/>
        </w:rPr>
        <w:t>Background</w:t>
      </w:r>
    </w:p>
    <w:p w14:paraId="79CA4E06" w14:textId="61ABEF70" w:rsidR="00691C12" w:rsidRPr="008238C7" w:rsidRDefault="00691C12" w:rsidP="00691C12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8238C7">
        <w:rPr>
          <w:rFonts w:ascii="Arial" w:hAnsi="Arial" w:cs="Arial"/>
          <w:sz w:val="22"/>
          <w:szCs w:val="22"/>
        </w:rPr>
        <w:t xml:space="preserve">CCW is a coalition of industry, labor, education, and community leaders who are creating work-based and academic programs for young people to explore, learn, and earn money and college-level credit. We believe all students in Washington deserve a future of purpose and prosperity. </w:t>
      </w:r>
    </w:p>
    <w:p w14:paraId="61202993" w14:textId="77777777" w:rsidR="00691C12" w:rsidRPr="008238C7" w:rsidRDefault="00691C12" w:rsidP="00691C12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8238C7">
        <w:rPr>
          <w:rFonts w:ascii="Arial" w:hAnsi="Arial" w:cs="Arial"/>
          <w:sz w:val="22"/>
          <w:szCs w:val="22"/>
        </w:rPr>
        <w:t xml:space="preserve">Our vision is that every young adult in Washington will have multiple pathways toward economic self-sufficiency and fulfilment, strengthened by a comprehensive state-wide system for career connected learning. </w:t>
      </w:r>
    </w:p>
    <w:p w14:paraId="29E7CDBC" w14:textId="77777777" w:rsidR="00691C12" w:rsidRPr="008238C7" w:rsidRDefault="00691C12" w:rsidP="00691C12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8238C7">
        <w:rPr>
          <w:rFonts w:ascii="Arial" w:hAnsi="Arial" w:cs="Arial"/>
          <w:sz w:val="22"/>
          <w:szCs w:val="22"/>
        </w:rPr>
        <w:t xml:space="preserve">For every young adult to succeed, we must intentionally focus on populations furthest from opportunity, especially students of color, Indigenous students, low-income students, rural students, and students with disabilities. </w:t>
      </w:r>
    </w:p>
    <w:p w14:paraId="3CCC7D43" w14:textId="4FAF9B29" w:rsidR="00691C12" w:rsidRPr="008238C7" w:rsidRDefault="008204A2" w:rsidP="00691C12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CCW</w:t>
      </w:r>
      <w:r w:rsidR="00691C12" w:rsidRPr="008238C7">
        <w:rPr>
          <w:rFonts w:ascii="Arial" w:hAnsi="Arial" w:cs="Arial"/>
          <w:sz w:val="22"/>
          <w:szCs w:val="22"/>
        </w:rPr>
        <w:t xml:space="preserve"> aims to ensure that 100% of students complete </w:t>
      </w:r>
      <w:hyperlink r:id="rId6" w:history="1">
        <w:r w:rsidR="00691C12" w:rsidRPr="008238C7">
          <w:rPr>
            <w:rStyle w:val="Hyperlink"/>
            <w:rFonts w:ascii="Arial" w:hAnsi="Arial" w:cs="Arial"/>
            <w:sz w:val="22"/>
            <w:szCs w:val="22"/>
          </w:rPr>
          <w:t>Career Prep</w:t>
        </w:r>
      </w:hyperlink>
      <w:r w:rsidR="00691C12" w:rsidRPr="008238C7">
        <w:rPr>
          <w:rFonts w:ascii="Arial" w:hAnsi="Arial" w:cs="Arial"/>
          <w:sz w:val="22"/>
          <w:szCs w:val="22"/>
        </w:rPr>
        <w:t xml:space="preserve"> and </w:t>
      </w:r>
      <w:hyperlink r:id="rId7" w:history="1">
        <w:r w:rsidR="00691C12" w:rsidRPr="008238C7">
          <w:rPr>
            <w:rStyle w:val="Hyperlink"/>
            <w:rFonts w:ascii="Arial" w:hAnsi="Arial" w:cs="Arial"/>
            <w:sz w:val="22"/>
            <w:szCs w:val="22"/>
          </w:rPr>
          <w:t>Career Explore</w:t>
        </w:r>
      </w:hyperlink>
      <w:r w:rsidR="00691C12" w:rsidRPr="008238C7">
        <w:rPr>
          <w:rFonts w:ascii="Arial" w:hAnsi="Arial" w:cs="Arial"/>
          <w:sz w:val="22"/>
          <w:szCs w:val="22"/>
        </w:rPr>
        <w:t xml:space="preserve"> activities and that 60% of students complete a </w:t>
      </w:r>
      <w:hyperlink r:id="rId8" w:history="1">
        <w:r w:rsidR="00691C12" w:rsidRPr="008238C7">
          <w:rPr>
            <w:rStyle w:val="Hyperlink"/>
            <w:rFonts w:ascii="Arial" w:hAnsi="Arial" w:cs="Arial"/>
            <w:sz w:val="22"/>
            <w:szCs w:val="22"/>
          </w:rPr>
          <w:t>Career Launch</w:t>
        </w:r>
      </w:hyperlink>
      <w:r w:rsidR="00691C12" w:rsidRPr="008238C7">
        <w:rPr>
          <w:rFonts w:ascii="Arial" w:hAnsi="Arial" w:cs="Arial"/>
          <w:sz w:val="22"/>
          <w:szCs w:val="22"/>
        </w:rPr>
        <w:t xml:space="preserve"> program before the high school class of 2030 is 30 years old. </w:t>
      </w:r>
    </w:p>
    <w:p w14:paraId="0BEE56A0" w14:textId="77777777" w:rsidR="00691C12" w:rsidRPr="008238C7" w:rsidRDefault="00691C12" w:rsidP="00691C12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8238C7">
        <w:rPr>
          <w:rFonts w:ascii="Arial" w:hAnsi="Arial" w:cs="Arial"/>
          <w:sz w:val="22"/>
          <w:szCs w:val="22"/>
        </w:rPr>
        <w:t>Our equity goal is that race, income, geography, gender, citizenship status, and other demographics and student characteristics will no longer predict the outcomes of Washington’s students.</w:t>
      </w:r>
    </w:p>
    <w:p w14:paraId="517DDF16" w14:textId="77777777" w:rsidR="00691C12" w:rsidRPr="008238C7" w:rsidRDefault="00691C12" w:rsidP="00691C12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8238C7">
        <w:rPr>
          <w:rFonts w:ascii="Arial" w:hAnsi="Arial" w:cs="Arial"/>
          <w:sz w:val="22"/>
          <w:szCs w:val="22"/>
        </w:rPr>
        <w:t>Washington Is home to companies that lead in their fields.</w:t>
      </w:r>
      <w:r>
        <w:rPr>
          <w:rFonts w:ascii="Arial" w:hAnsi="Arial" w:cs="Arial"/>
          <w:sz w:val="22"/>
          <w:szCs w:val="22"/>
        </w:rPr>
        <w:t xml:space="preserve"> </w:t>
      </w:r>
      <w:r w:rsidRPr="008238C7">
        <w:rPr>
          <w:rFonts w:ascii="Arial" w:hAnsi="Arial" w:cs="Arial"/>
          <w:sz w:val="22"/>
          <w:szCs w:val="22"/>
        </w:rPr>
        <w:t xml:space="preserve"> By connecting our educators to these innovative industries, we can better prepare young people with relevant skills, creating an educational system that can keep pace with a rapidly changing set of workforce needs. Program Intermediaries provide the necessary connections between industry, government, and education partners.</w:t>
      </w:r>
    </w:p>
    <w:p w14:paraId="5C4D72A4" w14:textId="742A184F" w:rsidR="008204A2" w:rsidRPr="008204A2" w:rsidRDefault="00691C12" w:rsidP="008204A2">
      <w:pPr>
        <w:tabs>
          <w:tab w:val="left" w:leader="dot" w:pos="2898"/>
        </w:tabs>
        <w:spacing w:after="120"/>
        <w:ind w:left="2970" w:hanging="2970"/>
        <w:rPr>
          <w:rFonts w:ascii="Arial" w:hAnsi="Arial" w:cs="Arial"/>
          <w:b/>
          <w:bCs/>
          <w:color w:val="C00000"/>
        </w:rPr>
      </w:pPr>
      <w:r w:rsidRPr="008204A2">
        <w:rPr>
          <w:rFonts w:ascii="Arial" w:hAnsi="Arial" w:cs="Arial"/>
          <w:b/>
          <w:color w:val="C00000"/>
        </w:rPr>
        <w:t>Bids are due</w:t>
      </w:r>
      <w:r w:rsidRPr="008204A2">
        <w:rPr>
          <w:rFonts w:ascii="Arial" w:hAnsi="Arial" w:cs="Arial"/>
          <w:b/>
          <w:bCs/>
          <w:color w:val="C00000"/>
        </w:rPr>
        <w:tab/>
      </w:r>
      <w:bookmarkStart w:id="0" w:name="Due_Date"/>
      <w:bookmarkEnd w:id="0"/>
      <w:r w:rsidR="008204A2" w:rsidRPr="008204A2">
        <w:rPr>
          <w:rFonts w:ascii="Arial" w:hAnsi="Arial" w:cs="Arial"/>
          <w:b/>
          <w:bCs/>
          <w:color w:val="C00000"/>
        </w:rPr>
        <w:t>August 31</w:t>
      </w:r>
      <w:r w:rsidRPr="008204A2">
        <w:rPr>
          <w:rFonts w:ascii="Arial" w:hAnsi="Arial" w:cs="Arial"/>
          <w:b/>
          <w:bCs/>
          <w:color w:val="C00000"/>
        </w:rPr>
        <w:t>, 2022, at 5:00 p.m.</w:t>
      </w:r>
      <w:r w:rsidRPr="008204A2">
        <w:rPr>
          <w:rFonts w:ascii="Arial" w:hAnsi="Arial" w:cs="Arial"/>
          <w:color w:val="C00000"/>
        </w:rPr>
        <w:t xml:space="preserve"> </w:t>
      </w:r>
      <w:r w:rsidR="000456AB">
        <w:rPr>
          <w:rFonts w:ascii="Arial" w:hAnsi="Arial" w:cs="Arial"/>
          <w:b/>
          <w:bCs/>
          <w:color w:val="C00000"/>
        </w:rPr>
        <w:t>Pacific</w:t>
      </w:r>
      <w:r w:rsidR="008204A2" w:rsidRPr="008204A2">
        <w:rPr>
          <w:rFonts w:ascii="Arial" w:hAnsi="Arial" w:cs="Arial"/>
          <w:b/>
          <w:bCs/>
          <w:color w:val="C00000"/>
        </w:rPr>
        <w:t xml:space="preserve"> Time</w:t>
      </w:r>
      <w:r w:rsidR="008204A2" w:rsidRPr="008204A2">
        <w:rPr>
          <w:rFonts w:ascii="Arial" w:hAnsi="Arial" w:cs="Arial"/>
          <w:b/>
          <w:bCs/>
          <w:i/>
          <w:iCs/>
          <w:color w:val="C00000"/>
        </w:rPr>
        <w:t xml:space="preserve"> </w:t>
      </w:r>
    </w:p>
    <w:p w14:paraId="3C54F2D0" w14:textId="78F84D4F" w:rsidR="00691C12" w:rsidRDefault="00691C12" w:rsidP="008204A2">
      <w:pPr>
        <w:tabs>
          <w:tab w:val="left" w:leader="dot" w:pos="2898"/>
        </w:tabs>
        <w:spacing w:after="240"/>
        <w:ind w:left="2966" w:hanging="2966"/>
        <w:rPr>
          <w:rStyle w:val="Hyperlink"/>
          <w:rFonts w:ascii="Arial" w:hAnsi="Arial" w:cs="Arial"/>
        </w:rPr>
      </w:pPr>
      <w:r w:rsidRPr="008238C7">
        <w:rPr>
          <w:rFonts w:ascii="Arial" w:hAnsi="Arial" w:cs="Arial"/>
          <w:b/>
        </w:rPr>
        <w:t>Procurement Coordinator</w:t>
      </w:r>
      <w:bookmarkStart w:id="1" w:name="Delivery_Location"/>
      <w:r>
        <w:rPr>
          <w:rFonts w:ascii="Arial" w:hAnsi="Arial" w:cs="Arial"/>
          <w:color w:val="FFFFFF" w:themeColor="background1"/>
        </w:rPr>
        <w:t xml:space="preserve">  </w:t>
      </w:r>
      <w:r w:rsidRPr="008238C7">
        <w:rPr>
          <w:rFonts w:ascii="Arial" w:hAnsi="Arial" w:cs="Arial"/>
        </w:rPr>
        <w:t xml:space="preserve">Andrea Goff – </w:t>
      </w:r>
      <w:hyperlink r:id="rId9" w:history="1">
        <w:r w:rsidR="008204A2" w:rsidRPr="008238C7">
          <w:rPr>
            <w:rStyle w:val="Hyperlink"/>
            <w:rFonts w:ascii="Arial" w:hAnsi="Arial" w:cs="Arial"/>
          </w:rPr>
          <w:t>esdgpbids@esd.wa.gov</w:t>
        </w:r>
      </w:hyperlink>
    </w:p>
    <w:p w14:paraId="21F3E18B" w14:textId="77777777" w:rsidR="00691C12" w:rsidRDefault="00691C12" w:rsidP="00691C12">
      <w:pPr>
        <w:pStyle w:val="BodyTextIndent"/>
        <w:ind w:left="0"/>
        <w:rPr>
          <w:rFonts w:ascii="Arial" w:eastAsiaTheme="minorHAnsi" w:hAnsi="Arial" w:cs="Arial"/>
          <w:sz w:val="22"/>
          <w:szCs w:val="22"/>
        </w:rPr>
      </w:pPr>
      <w:bookmarkStart w:id="2" w:name="_Hlk94608152"/>
      <w:r>
        <w:rPr>
          <w:rFonts w:ascii="Arial" w:hAnsi="Arial" w:cs="Arial"/>
          <w:sz w:val="22"/>
          <w:szCs w:val="22"/>
        </w:rPr>
        <w:t xml:space="preserve">The RFP Coordinator is the sole point of contact in ESD for all matters related to this procurement. </w:t>
      </w:r>
    </w:p>
    <w:bookmarkEnd w:id="2"/>
    <w:p w14:paraId="24204C04" w14:textId="77777777" w:rsidR="00691C12" w:rsidRPr="008238C7" w:rsidRDefault="00691C12" w:rsidP="00691C12">
      <w:pPr>
        <w:tabs>
          <w:tab w:val="left" w:leader="dot" w:pos="2898"/>
        </w:tabs>
        <w:spacing w:after="240"/>
        <w:rPr>
          <w:rStyle w:val="Hyperlink"/>
          <w:rFonts w:ascii="Arial" w:hAnsi="Arial" w:cs="Arial"/>
        </w:rPr>
      </w:pPr>
      <w:r w:rsidRPr="008238C7">
        <w:rPr>
          <w:rFonts w:ascii="Arial" w:hAnsi="Arial" w:cs="Arial"/>
          <w:b/>
        </w:rPr>
        <w:t xml:space="preserve">E-mail Bid </w:t>
      </w:r>
      <w:bookmarkEnd w:id="1"/>
      <w:r w:rsidRPr="008238C7">
        <w:rPr>
          <w:rFonts w:ascii="Arial" w:hAnsi="Arial" w:cs="Arial"/>
          <w:b/>
        </w:rPr>
        <w:t>Proposals to:</w:t>
      </w:r>
      <w:r w:rsidRPr="008238C7">
        <w:rPr>
          <w:rFonts w:ascii="Arial" w:hAnsi="Arial" w:cs="Arial"/>
        </w:rPr>
        <w:tab/>
      </w:r>
      <w:bookmarkStart w:id="3" w:name="_Hlk83975140"/>
      <w:r w:rsidRPr="008238C7">
        <w:fldChar w:fldCharType="begin"/>
      </w:r>
      <w:r w:rsidRPr="008238C7">
        <w:rPr>
          <w:rFonts w:ascii="Arial" w:hAnsi="Arial" w:cs="Arial"/>
        </w:rPr>
        <w:instrText xml:space="preserve"> HYPERLINK "mailto:esdgpbids@esd.wa.gov" </w:instrText>
      </w:r>
      <w:r w:rsidRPr="008238C7">
        <w:fldChar w:fldCharType="separate"/>
      </w:r>
      <w:r w:rsidRPr="008238C7">
        <w:rPr>
          <w:rStyle w:val="Hyperlink"/>
          <w:rFonts w:ascii="Arial" w:hAnsi="Arial" w:cs="Arial"/>
        </w:rPr>
        <w:t>esdgpbids@esd.wa.gov</w:t>
      </w:r>
      <w:r w:rsidRPr="008238C7">
        <w:rPr>
          <w:rStyle w:val="Hyperlink"/>
          <w:rFonts w:ascii="Arial" w:hAnsi="Arial" w:cs="Arial"/>
        </w:rPr>
        <w:fldChar w:fldCharType="end"/>
      </w:r>
      <w:bookmarkEnd w:id="3"/>
    </w:p>
    <w:p w14:paraId="5F5EDA94" w14:textId="77777777" w:rsidR="00691C12" w:rsidRPr="008238C7" w:rsidRDefault="00691C12" w:rsidP="00691C12">
      <w:pPr>
        <w:spacing w:before="120" w:after="240"/>
        <w:ind w:left="86"/>
        <w:rPr>
          <w:rFonts w:ascii="Arial" w:hAnsi="Arial" w:cs="Arial"/>
          <w:sz w:val="22"/>
          <w:szCs w:val="22"/>
        </w:rPr>
      </w:pPr>
    </w:p>
    <w:p w14:paraId="2645F19B" w14:textId="77777777" w:rsidR="00691C12" w:rsidRDefault="00691C12"/>
    <w:sectPr w:rsidR="00691C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buntu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44EB6"/>
    <w:multiLevelType w:val="hybridMultilevel"/>
    <w:tmpl w:val="F2A2F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C7AC0"/>
    <w:multiLevelType w:val="multilevel"/>
    <w:tmpl w:val="1938E3C2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C12"/>
    <w:rsid w:val="000456AB"/>
    <w:rsid w:val="00615023"/>
    <w:rsid w:val="00691C12"/>
    <w:rsid w:val="008204A2"/>
    <w:rsid w:val="008B030D"/>
    <w:rsid w:val="00A7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6009E"/>
  <w15:chartTrackingRefBased/>
  <w15:docId w15:val="{36BD3053-9994-466E-8B7C-8E5A34FDC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C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691C12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691C1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691C1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List Paragraph 1,List Paragraph 1.,bullet list"/>
    <w:basedOn w:val="Normal"/>
    <w:link w:val="ListParagraphChar"/>
    <w:uiPriority w:val="34"/>
    <w:qFormat/>
    <w:rsid w:val="00691C12"/>
    <w:pPr>
      <w:numPr>
        <w:numId w:val="1"/>
      </w:numPr>
      <w:spacing w:before="240" w:after="60"/>
    </w:pPr>
    <w:rPr>
      <w:b/>
    </w:rPr>
  </w:style>
  <w:style w:type="character" w:customStyle="1" w:styleId="ListParagraphChar">
    <w:name w:val="List Paragraph Char"/>
    <w:aliases w:val="List Paragraph 1 Char,List Paragraph 1. Char,bullet list Char"/>
    <w:link w:val="ListParagraph"/>
    <w:uiPriority w:val="34"/>
    <w:rsid w:val="00691C12"/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eerconnectwa.org/career-launch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reerconnectwa.org/career-explor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reerconnectwa.org/career-prep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sdgpbids@esd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355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Goff, Andrea (ESD)</dc:creator>
  <cp:keywords/>
  <dc:description/>
  <cp:lastModifiedBy>Goff, Andrea (ESD)</cp:lastModifiedBy>
  <cp:revision>4</cp:revision>
  <dcterms:created xsi:type="dcterms:W3CDTF">2022-02-10T01:59:00Z</dcterms:created>
  <dcterms:modified xsi:type="dcterms:W3CDTF">2022-06-22T17:45:00Z</dcterms:modified>
</cp:coreProperties>
</file>