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6DFBD" w14:textId="77777777" w:rsidR="00D63138" w:rsidRDefault="00D63138">
      <w:pPr>
        <w:rPr>
          <w:rFonts w:ascii="Arial" w:hAnsi="Arial" w:cs="Arial"/>
          <w:sz w:val="16"/>
          <w:szCs w:val="16"/>
        </w:rPr>
      </w:pPr>
    </w:p>
    <w:p w14:paraId="22F215F3" w14:textId="77777777" w:rsidR="00D63138" w:rsidRDefault="005F7BC2">
      <w:pPr>
        <w:rPr>
          <w:rFonts w:ascii="Arial" w:hAnsi="Arial" w:cs="Arial"/>
          <w:szCs w:val="24"/>
        </w:rPr>
      </w:pPr>
      <w:r>
        <w:rPr>
          <w:rFonts w:ascii="Arial" w:hAnsi="Arial" w:cs="Arial"/>
          <w:szCs w:val="24"/>
        </w:rPr>
        <w:t>March 10, 2022</w:t>
      </w:r>
    </w:p>
    <w:p w14:paraId="3C40DF46" w14:textId="77777777" w:rsidR="00D63138" w:rsidRDefault="00D63138">
      <w:pPr>
        <w:rPr>
          <w:rFonts w:ascii="Arial" w:hAnsi="Arial" w:cs="Arial"/>
          <w:szCs w:val="24"/>
        </w:rPr>
      </w:pPr>
    </w:p>
    <w:p w14:paraId="1FC24BA9" w14:textId="77777777" w:rsidR="00D63138" w:rsidRDefault="00D63138">
      <w:pPr>
        <w:rPr>
          <w:rFonts w:ascii="Arial" w:hAnsi="Arial" w:cs="Arial"/>
          <w:szCs w:val="24"/>
        </w:rPr>
      </w:pPr>
    </w:p>
    <w:p w14:paraId="7BDD53F4" w14:textId="77777777" w:rsidR="00D63138" w:rsidRDefault="00D63138">
      <w:pPr>
        <w:keepNext/>
        <w:ind w:left="720" w:hanging="720"/>
        <w:outlineLvl w:val="0"/>
        <w:rPr>
          <w:rFonts w:ascii="Arial" w:hAnsi="Arial" w:cs="Arial"/>
          <w:b/>
          <w:szCs w:val="24"/>
          <w:u w:val="single"/>
        </w:rPr>
      </w:pPr>
      <w:r>
        <w:rPr>
          <w:rFonts w:ascii="Arial" w:hAnsi="Arial" w:cs="Arial"/>
          <w:b/>
          <w:szCs w:val="24"/>
        </w:rPr>
        <w:t>Re:</w:t>
      </w:r>
      <w:r>
        <w:rPr>
          <w:rFonts w:ascii="Arial" w:hAnsi="Arial" w:cs="Arial"/>
          <w:b/>
          <w:szCs w:val="24"/>
        </w:rPr>
        <w:tab/>
      </w:r>
      <w:r>
        <w:rPr>
          <w:rFonts w:ascii="Arial" w:hAnsi="Arial" w:cs="Arial"/>
          <w:b/>
          <w:szCs w:val="24"/>
          <w:u w:val="single"/>
        </w:rPr>
        <w:t xml:space="preserve">Letter of Advertisement – </w:t>
      </w:r>
      <w:r w:rsidR="005F7BC2">
        <w:rPr>
          <w:rFonts w:ascii="Arial" w:hAnsi="Arial" w:cs="Arial"/>
          <w:b/>
          <w:szCs w:val="24"/>
          <w:u w:val="single"/>
        </w:rPr>
        <w:t xml:space="preserve">Hoko River </w:t>
      </w:r>
      <w:r>
        <w:rPr>
          <w:rFonts w:ascii="Arial" w:hAnsi="Arial" w:cs="Arial"/>
          <w:b/>
          <w:szCs w:val="24"/>
          <w:u w:val="single"/>
        </w:rPr>
        <w:t xml:space="preserve">State Park – </w:t>
      </w:r>
      <w:r w:rsidR="005F7BC2">
        <w:rPr>
          <w:rFonts w:ascii="Arial" w:hAnsi="Arial" w:cs="Arial"/>
          <w:b/>
          <w:szCs w:val="24"/>
          <w:u w:val="single"/>
        </w:rPr>
        <w:t xml:space="preserve">Cowan House Make Safe SW-33105 </w:t>
      </w:r>
    </w:p>
    <w:p w14:paraId="74EAB55E" w14:textId="77777777" w:rsidR="00D63138" w:rsidRDefault="00D63138">
      <w:pPr>
        <w:rPr>
          <w:rFonts w:ascii="Arial" w:hAnsi="Arial" w:cs="Arial"/>
          <w:szCs w:val="24"/>
        </w:rPr>
      </w:pPr>
    </w:p>
    <w:p w14:paraId="6B3CCF8E" w14:textId="77777777" w:rsidR="00D63138" w:rsidRDefault="00D63138">
      <w:pPr>
        <w:rPr>
          <w:rFonts w:ascii="Arial" w:hAnsi="Arial" w:cs="Arial"/>
          <w:szCs w:val="24"/>
        </w:rPr>
      </w:pPr>
    </w:p>
    <w:p w14:paraId="16F376E5" w14:textId="77777777" w:rsidR="00D63138" w:rsidRDefault="00D63138">
      <w:pPr>
        <w:rPr>
          <w:rFonts w:ascii="Arial" w:hAnsi="Arial" w:cs="Arial"/>
          <w:szCs w:val="24"/>
        </w:rPr>
      </w:pPr>
      <w:r>
        <w:rPr>
          <w:rFonts w:ascii="Arial" w:hAnsi="Arial" w:cs="Arial"/>
          <w:szCs w:val="24"/>
        </w:rPr>
        <w:t>Dear Sir/Madam:</w:t>
      </w:r>
    </w:p>
    <w:p w14:paraId="1524EFDC" w14:textId="77777777" w:rsidR="00D63138" w:rsidRDefault="00D63138">
      <w:pPr>
        <w:rPr>
          <w:rFonts w:ascii="Arial" w:hAnsi="Arial" w:cs="Arial"/>
          <w:szCs w:val="24"/>
        </w:rPr>
      </w:pPr>
    </w:p>
    <w:p w14:paraId="45127508" w14:textId="77777777" w:rsidR="00D63138" w:rsidRDefault="00D63138">
      <w:pPr>
        <w:jc w:val="both"/>
        <w:rPr>
          <w:rFonts w:ascii="Arial" w:hAnsi="Arial" w:cs="Arial"/>
          <w:szCs w:val="24"/>
        </w:rPr>
      </w:pPr>
      <w:r>
        <w:rPr>
          <w:rFonts w:ascii="Arial" w:hAnsi="Arial" w:cs="Arial"/>
          <w:szCs w:val="24"/>
        </w:rPr>
        <w:t xml:space="preserve">Please publish the following legal advertisement under your “Advertisement for Bid” section for two (2) consecutive days beginning </w:t>
      </w:r>
      <w:r w:rsidR="005F7BC2" w:rsidRPr="005F7BC2">
        <w:rPr>
          <w:rFonts w:ascii="Arial" w:hAnsi="Arial" w:cs="Arial"/>
          <w:szCs w:val="24"/>
        </w:rPr>
        <w:t>Thursday</w:t>
      </w:r>
      <w:r w:rsidRPr="005F7BC2">
        <w:rPr>
          <w:rFonts w:ascii="Arial" w:hAnsi="Arial" w:cs="Arial"/>
          <w:szCs w:val="24"/>
        </w:rPr>
        <w:t>,</w:t>
      </w:r>
      <w:r w:rsidR="005F7BC2" w:rsidRPr="005F7BC2">
        <w:rPr>
          <w:rFonts w:ascii="Arial" w:hAnsi="Arial" w:cs="Arial"/>
          <w:szCs w:val="24"/>
        </w:rPr>
        <w:t xml:space="preserve"> March 10, 2022</w:t>
      </w:r>
      <w:r w:rsidR="00C5114F">
        <w:rPr>
          <w:rFonts w:ascii="Arial" w:hAnsi="Arial" w:cs="Arial"/>
          <w:szCs w:val="24"/>
        </w:rPr>
        <w:t xml:space="preserve">, </w:t>
      </w:r>
      <w:r w:rsidR="00C5114F">
        <w:rPr>
          <w:rFonts w:ascii="Arial" w:hAnsi="Arial" w:cs="Arial"/>
          <w:i/>
          <w:szCs w:val="24"/>
          <w:u w:val="single"/>
        </w:rPr>
        <w:t>or at your earliest possible convenience</w:t>
      </w:r>
      <w:r>
        <w:rPr>
          <w:rFonts w:ascii="Arial" w:hAnsi="Arial" w:cs="Arial"/>
          <w:szCs w:val="24"/>
        </w:rPr>
        <w:t>.  An Affidavit of Publication will be required by this office.  The required invoice voucher form to use for your billing is enclosed for your convenience.</w:t>
      </w:r>
    </w:p>
    <w:p w14:paraId="702090E4" w14:textId="77777777" w:rsidR="00D63138" w:rsidRDefault="00D63138">
      <w:pPr>
        <w:rPr>
          <w:rFonts w:ascii="Arial" w:hAnsi="Arial" w:cs="Arial"/>
          <w:szCs w:val="24"/>
        </w:rPr>
      </w:pPr>
    </w:p>
    <w:p w14:paraId="2C6364A1" w14:textId="77777777" w:rsidR="00D63138" w:rsidRDefault="00D63138">
      <w:pPr>
        <w:rPr>
          <w:rFonts w:ascii="Arial" w:hAnsi="Arial" w:cs="Arial"/>
          <w:szCs w:val="24"/>
        </w:rPr>
      </w:pPr>
    </w:p>
    <w:p w14:paraId="7C183A3E" w14:textId="77777777" w:rsidR="00D63138" w:rsidRDefault="00D63138">
      <w:pPr>
        <w:jc w:val="center"/>
        <w:rPr>
          <w:rFonts w:ascii="Arial" w:hAnsi="Arial" w:cs="Arial"/>
          <w:b/>
          <w:szCs w:val="24"/>
          <w:u w:val="single"/>
        </w:rPr>
      </w:pPr>
      <w:r>
        <w:rPr>
          <w:rFonts w:ascii="Arial" w:hAnsi="Arial" w:cs="Arial"/>
          <w:b/>
          <w:szCs w:val="24"/>
          <w:u w:val="single"/>
        </w:rPr>
        <w:t>ADVERTISEMENT FOR BID</w:t>
      </w:r>
    </w:p>
    <w:p w14:paraId="487F60D9" w14:textId="77777777" w:rsidR="00D63138" w:rsidRDefault="00D63138">
      <w:pPr>
        <w:rPr>
          <w:rFonts w:ascii="Arial" w:hAnsi="Arial" w:cs="Arial"/>
          <w:sz w:val="20"/>
        </w:rPr>
      </w:pPr>
    </w:p>
    <w:p w14:paraId="59B33647" w14:textId="77777777" w:rsidR="00D63138" w:rsidRDefault="00D63138">
      <w:pPr>
        <w:rPr>
          <w:rFonts w:ascii="Arial" w:hAnsi="Arial" w:cs="Arial"/>
          <w:szCs w:val="24"/>
        </w:rPr>
      </w:pPr>
      <w:r>
        <w:rPr>
          <w:rFonts w:ascii="Arial" w:hAnsi="Arial" w:cs="Arial"/>
          <w:szCs w:val="24"/>
        </w:rPr>
        <w:t>Sealed proposals will be received for the following project:</w:t>
      </w:r>
    </w:p>
    <w:p w14:paraId="4B362CA4" w14:textId="77777777" w:rsidR="00D63138" w:rsidRDefault="00D63138">
      <w:pPr>
        <w:rPr>
          <w:rFonts w:ascii="Arial" w:hAnsi="Arial" w:cs="Arial"/>
          <w:szCs w:val="24"/>
        </w:rPr>
      </w:pPr>
    </w:p>
    <w:p w14:paraId="785B6A2A" w14:textId="77777777" w:rsidR="00D63138" w:rsidRDefault="005F7BC2">
      <w:pPr>
        <w:keepNext/>
        <w:jc w:val="center"/>
        <w:outlineLvl w:val="1"/>
        <w:rPr>
          <w:rFonts w:ascii="Arial" w:hAnsi="Arial" w:cs="Arial"/>
          <w:b/>
          <w:szCs w:val="24"/>
          <w:u w:val="single"/>
        </w:rPr>
      </w:pPr>
      <w:r>
        <w:rPr>
          <w:rFonts w:ascii="Arial" w:hAnsi="Arial" w:cs="Arial"/>
          <w:b/>
          <w:szCs w:val="24"/>
          <w:u w:val="single"/>
        </w:rPr>
        <w:t xml:space="preserve">Hoko River </w:t>
      </w:r>
      <w:r w:rsidR="00D63138">
        <w:rPr>
          <w:rFonts w:ascii="Arial" w:hAnsi="Arial" w:cs="Arial"/>
          <w:b/>
          <w:szCs w:val="24"/>
          <w:u w:val="single"/>
        </w:rPr>
        <w:t xml:space="preserve">State Park – </w:t>
      </w:r>
      <w:r>
        <w:rPr>
          <w:rFonts w:ascii="Arial" w:hAnsi="Arial" w:cs="Arial"/>
          <w:b/>
          <w:szCs w:val="24"/>
          <w:u w:val="single"/>
        </w:rPr>
        <w:t>Cowan House Make Safe</w:t>
      </w:r>
    </w:p>
    <w:p w14:paraId="6604BE3F" w14:textId="77777777" w:rsidR="00D63138" w:rsidRDefault="00D63138">
      <w:pPr>
        <w:keepNext/>
        <w:jc w:val="center"/>
        <w:outlineLvl w:val="1"/>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5850"/>
      </w:tblGrid>
      <w:tr w:rsidR="00D63138" w14:paraId="5787D5BE" w14:textId="77777777">
        <w:tblPrEx>
          <w:tblCellMar>
            <w:top w:w="0" w:type="dxa"/>
            <w:bottom w:w="0" w:type="dxa"/>
          </w:tblCellMar>
        </w:tblPrEx>
        <w:tc>
          <w:tcPr>
            <w:tcW w:w="3708" w:type="dxa"/>
            <w:tcBorders>
              <w:top w:val="nil"/>
              <w:left w:val="nil"/>
              <w:bottom w:val="nil"/>
              <w:right w:val="nil"/>
            </w:tcBorders>
          </w:tcPr>
          <w:p w14:paraId="5F0373CA" w14:textId="77777777" w:rsidR="00D63138" w:rsidRDefault="00D63138">
            <w:pPr>
              <w:spacing w:before="120"/>
              <w:rPr>
                <w:rFonts w:ascii="Arial" w:hAnsi="Arial" w:cs="Arial"/>
                <w:szCs w:val="24"/>
              </w:rPr>
            </w:pPr>
            <w:r>
              <w:rPr>
                <w:rFonts w:ascii="Arial" w:hAnsi="Arial" w:cs="Arial"/>
                <w:szCs w:val="24"/>
              </w:rPr>
              <w:t>PROJECT DESCRIPTION:</w:t>
            </w:r>
          </w:p>
        </w:tc>
        <w:tc>
          <w:tcPr>
            <w:tcW w:w="5850" w:type="dxa"/>
            <w:tcBorders>
              <w:top w:val="nil"/>
              <w:left w:val="nil"/>
              <w:right w:val="nil"/>
            </w:tcBorders>
            <w:vAlign w:val="bottom"/>
          </w:tcPr>
          <w:p w14:paraId="227E04B8" w14:textId="77777777" w:rsidR="00D63138" w:rsidRDefault="005F7BC2">
            <w:pPr>
              <w:spacing w:before="120"/>
              <w:jc w:val="both"/>
              <w:rPr>
                <w:rFonts w:ascii="Arial" w:hAnsi="Arial" w:cs="Arial"/>
                <w:szCs w:val="24"/>
              </w:rPr>
            </w:pPr>
            <w:r>
              <w:rPr>
                <w:rFonts w:ascii="Arial" w:hAnsi="Arial" w:cs="Arial"/>
                <w:szCs w:val="24"/>
              </w:rPr>
              <w:t>R</w:t>
            </w:r>
            <w:r w:rsidRPr="005F7BC2">
              <w:rPr>
                <w:rFonts w:ascii="Arial" w:hAnsi="Arial" w:cs="Arial"/>
                <w:szCs w:val="24"/>
              </w:rPr>
              <w:t>emoval of asbestos-containing materials (ACM), scraping of loose and damaged lead-containing paint (LCP), and minor selective demolition to facilitate painting and general housekeeping by volunteer staff. Included in the Work is removal and scarping to tight of loose, damaged, and weathered LCP, removal of ACM, cleaning and preparation of floors, walls, and ceilings for patch and repair by others, and limited demolition of non-regulated building components.</w:t>
            </w:r>
          </w:p>
        </w:tc>
      </w:tr>
      <w:tr w:rsidR="00D63138" w14:paraId="3614996A" w14:textId="77777777">
        <w:tblPrEx>
          <w:tblCellMar>
            <w:top w:w="0" w:type="dxa"/>
            <w:bottom w:w="0" w:type="dxa"/>
          </w:tblCellMar>
        </w:tblPrEx>
        <w:tc>
          <w:tcPr>
            <w:tcW w:w="3708" w:type="dxa"/>
            <w:tcBorders>
              <w:top w:val="nil"/>
              <w:left w:val="nil"/>
              <w:bottom w:val="nil"/>
              <w:right w:val="nil"/>
            </w:tcBorders>
          </w:tcPr>
          <w:p w14:paraId="111FBE21" w14:textId="77777777" w:rsidR="00D63138" w:rsidRDefault="00D63138">
            <w:pPr>
              <w:spacing w:before="120"/>
              <w:rPr>
                <w:rFonts w:ascii="Arial" w:hAnsi="Arial" w:cs="Arial"/>
                <w:szCs w:val="24"/>
              </w:rPr>
            </w:pPr>
            <w:r>
              <w:rPr>
                <w:rFonts w:ascii="Arial" w:hAnsi="Arial" w:cs="Arial"/>
                <w:szCs w:val="24"/>
              </w:rPr>
              <w:t>PROJECT LOCATION:</w:t>
            </w:r>
          </w:p>
        </w:tc>
        <w:tc>
          <w:tcPr>
            <w:tcW w:w="5850" w:type="dxa"/>
            <w:tcBorders>
              <w:left w:val="nil"/>
              <w:right w:val="nil"/>
            </w:tcBorders>
            <w:vAlign w:val="bottom"/>
          </w:tcPr>
          <w:p w14:paraId="09CDC53E" w14:textId="77777777" w:rsidR="00D63138" w:rsidRDefault="007F5E4F" w:rsidP="007F5E4F">
            <w:pPr>
              <w:spacing w:before="120"/>
              <w:jc w:val="both"/>
              <w:rPr>
                <w:rFonts w:ascii="Arial" w:hAnsi="Arial" w:cs="Arial"/>
                <w:szCs w:val="24"/>
              </w:rPr>
            </w:pPr>
            <w:r w:rsidRPr="007F5E4F">
              <w:rPr>
                <w:rFonts w:ascii="Arial" w:hAnsi="Arial" w:cs="Arial"/>
                <w:szCs w:val="24"/>
              </w:rPr>
              <w:t>Hoko River State Park</w:t>
            </w:r>
            <w:r>
              <w:rPr>
                <w:rFonts w:ascii="Arial" w:hAnsi="Arial" w:cs="Arial"/>
                <w:szCs w:val="24"/>
              </w:rPr>
              <w:t xml:space="preserve">, </w:t>
            </w:r>
            <w:r w:rsidRPr="007F5E4F">
              <w:rPr>
                <w:rFonts w:ascii="Arial" w:hAnsi="Arial" w:cs="Arial"/>
                <w:szCs w:val="24"/>
              </w:rPr>
              <w:t>11234 WA-112,</w:t>
            </w:r>
            <w:r>
              <w:rPr>
                <w:rFonts w:ascii="Arial" w:hAnsi="Arial" w:cs="Arial"/>
                <w:szCs w:val="24"/>
              </w:rPr>
              <w:t xml:space="preserve"> </w:t>
            </w:r>
            <w:r w:rsidRPr="007F5E4F">
              <w:rPr>
                <w:rFonts w:ascii="Arial" w:hAnsi="Arial" w:cs="Arial"/>
                <w:szCs w:val="24"/>
              </w:rPr>
              <w:t>Sekiu, WA 98381</w:t>
            </w:r>
          </w:p>
        </w:tc>
      </w:tr>
      <w:tr w:rsidR="00D63138" w14:paraId="1BBB92CA" w14:textId="77777777">
        <w:tblPrEx>
          <w:tblCellMar>
            <w:top w:w="0" w:type="dxa"/>
            <w:bottom w:w="0" w:type="dxa"/>
          </w:tblCellMar>
        </w:tblPrEx>
        <w:tc>
          <w:tcPr>
            <w:tcW w:w="3708" w:type="dxa"/>
            <w:tcBorders>
              <w:top w:val="nil"/>
              <w:left w:val="nil"/>
              <w:bottom w:val="nil"/>
              <w:right w:val="nil"/>
            </w:tcBorders>
          </w:tcPr>
          <w:p w14:paraId="4F4E52B2" w14:textId="77777777" w:rsidR="00D63138" w:rsidRDefault="00D63138">
            <w:pPr>
              <w:spacing w:before="120"/>
              <w:rPr>
                <w:rFonts w:ascii="Arial" w:hAnsi="Arial" w:cs="Arial"/>
                <w:szCs w:val="24"/>
              </w:rPr>
            </w:pPr>
            <w:r>
              <w:rPr>
                <w:rFonts w:ascii="Arial" w:hAnsi="Arial" w:cs="Arial"/>
                <w:szCs w:val="24"/>
              </w:rPr>
              <w:t xml:space="preserve">ESTIMATED </w:t>
            </w:r>
            <w:smartTag w:uri="urn:schemas-microsoft-com:office:smarttags" w:element="place">
              <w:smartTag w:uri="urn:schemas-microsoft-com:office:smarttags" w:element="PlaceName">
                <w:r>
                  <w:rPr>
                    <w:rFonts w:ascii="Arial" w:hAnsi="Arial" w:cs="Arial"/>
                    <w:szCs w:val="24"/>
                  </w:rPr>
                  <w:t>BID</w:t>
                </w:r>
              </w:smartTag>
              <w:r>
                <w:rPr>
                  <w:rFonts w:ascii="Arial" w:hAnsi="Arial" w:cs="Arial"/>
                  <w:szCs w:val="24"/>
                </w:rPr>
                <w:t xml:space="preserve"> </w:t>
              </w:r>
              <w:smartTag w:uri="urn:schemas-microsoft-com:office:smarttags" w:element="PlaceType">
                <w:r>
                  <w:rPr>
                    <w:rFonts w:ascii="Arial" w:hAnsi="Arial" w:cs="Arial"/>
                    <w:szCs w:val="24"/>
                  </w:rPr>
                  <w:t>RANGE</w:t>
                </w:r>
              </w:smartTag>
            </w:smartTag>
            <w:r>
              <w:rPr>
                <w:rFonts w:ascii="Arial" w:hAnsi="Arial" w:cs="Arial"/>
                <w:szCs w:val="24"/>
              </w:rPr>
              <w:t>:</w:t>
            </w:r>
          </w:p>
        </w:tc>
        <w:tc>
          <w:tcPr>
            <w:tcW w:w="5850" w:type="dxa"/>
            <w:tcBorders>
              <w:left w:val="nil"/>
              <w:right w:val="nil"/>
            </w:tcBorders>
            <w:vAlign w:val="bottom"/>
          </w:tcPr>
          <w:p w14:paraId="0AC752AE" w14:textId="77777777" w:rsidR="00D63138" w:rsidRDefault="00D63138">
            <w:pPr>
              <w:spacing w:before="120"/>
              <w:rPr>
                <w:rFonts w:ascii="Arial" w:hAnsi="Arial" w:cs="Arial"/>
                <w:szCs w:val="24"/>
              </w:rPr>
            </w:pPr>
            <w:r>
              <w:rPr>
                <w:rFonts w:ascii="Arial" w:hAnsi="Arial" w:cs="Arial"/>
                <w:szCs w:val="24"/>
              </w:rPr>
              <w:t>$</w:t>
            </w:r>
            <w:r w:rsidR="007F5E4F">
              <w:rPr>
                <w:rFonts w:ascii="Arial" w:hAnsi="Arial" w:cs="Arial"/>
                <w:szCs w:val="24"/>
              </w:rPr>
              <w:t>57,000-$61,000</w:t>
            </w:r>
          </w:p>
        </w:tc>
      </w:tr>
      <w:tr w:rsidR="00D63138" w14:paraId="474954B7" w14:textId="77777777">
        <w:tblPrEx>
          <w:tblCellMar>
            <w:top w:w="0" w:type="dxa"/>
            <w:bottom w:w="0" w:type="dxa"/>
          </w:tblCellMar>
        </w:tblPrEx>
        <w:tc>
          <w:tcPr>
            <w:tcW w:w="3708" w:type="dxa"/>
            <w:tcBorders>
              <w:top w:val="nil"/>
              <w:left w:val="nil"/>
              <w:bottom w:val="nil"/>
              <w:right w:val="nil"/>
            </w:tcBorders>
          </w:tcPr>
          <w:p w14:paraId="05FAFDFE" w14:textId="77777777" w:rsidR="00D63138" w:rsidRDefault="00D63138">
            <w:pPr>
              <w:spacing w:before="120"/>
              <w:rPr>
                <w:rFonts w:ascii="Arial" w:hAnsi="Arial" w:cs="Arial"/>
                <w:szCs w:val="24"/>
              </w:rPr>
            </w:pPr>
            <w:r>
              <w:rPr>
                <w:rFonts w:ascii="Arial" w:hAnsi="Arial" w:cs="Arial"/>
                <w:szCs w:val="24"/>
              </w:rPr>
              <w:t>BID OPENING TIME:</w:t>
            </w:r>
          </w:p>
        </w:tc>
        <w:tc>
          <w:tcPr>
            <w:tcW w:w="5850" w:type="dxa"/>
            <w:tcBorders>
              <w:left w:val="nil"/>
              <w:right w:val="nil"/>
            </w:tcBorders>
            <w:vAlign w:val="bottom"/>
          </w:tcPr>
          <w:p w14:paraId="08EEAC01" w14:textId="77777777" w:rsidR="00D63138" w:rsidRDefault="007F5E4F">
            <w:pPr>
              <w:spacing w:before="120"/>
              <w:rPr>
                <w:rFonts w:ascii="Arial" w:hAnsi="Arial" w:cs="Arial"/>
                <w:b/>
                <w:szCs w:val="24"/>
              </w:rPr>
            </w:pPr>
            <w:r>
              <w:rPr>
                <w:rFonts w:ascii="Arial" w:hAnsi="Arial" w:cs="Arial"/>
                <w:b/>
                <w:szCs w:val="24"/>
              </w:rPr>
              <w:t>1:00 PM</w:t>
            </w:r>
            <w:r w:rsidR="00D63138">
              <w:rPr>
                <w:rFonts w:ascii="Arial" w:hAnsi="Arial" w:cs="Arial"/>
                <w:b/>
                <w:szCs w:val="24"/>
              </w:rPr>
              <w:t xml:space="preserve">, </w:t>
            </w:r>
            <w:r>
              <w:rPr>
                <w:rFonts w:ascii="Arial" w:hAnsi="Arial" w:cs="Arial"/>
                <w:b/>
                <w:szCs w:val="24"/>
              </w:rPr>
              <w:t>Thursday</w:t>
            </w:r>
            <w:r w:rsidR="00D63138">
              <w:rPr>
                <w:rFonts w:ascii="Arial" w:hAnsi="Arial" w:cs="Arial"/>
                <w:b/>
                <w:szCs w:val="24"/>
              </w:rPr>
              <w:t xml:space="preserve">, </w:t>
            </w:r>
            <w:r>
              <w:rPr>
                <w:rFonts w:ascii="Arial" w:hAnsi="Arial" w:cs="Arial"/>
                <w:b/>
                <w:szCs w:val="24"/>
              </w:rPr>
              <w:t>April 07, 2022</w:t>
            </w:r>
          </w:p>
        </w:tc>
      </w:tr>
      <w:tr w:rsidR="00D63138" w14:paraId="28682DC2" w14:textId="77777777">
        <w:tblPrEx>
          <w:tblCellMar>
            <w:top w:w="0" w:type="dxa"/>
            <w:bottom w:w="0" w:type="dxa"/>
          </w:tblCellMar>
        </w:tblPrEx>
        <w:tc>
          <w:tcPr>
            <w:tcW w:w="3708" w:type="dxa"/>
            <w:tcBorders>
              <w:top w:val="nil"/>
              <w:left w:val="nil"/>
              <w:bottom w:val="nil"/>
              <w:right w:val="nil"/>
            </w:tcBorders>
          </w:tcPr>
          <w:p w14:paraId="6343CCB7" w14:textId="77777777" w:rsidR="00D63138" w:rsidRDefault="00D63138">
            <w:pPr>
              <w:spacing w:before="120"/>
              <w:ind w:left="720" w:hanging="720"/>
              <w:rPr>
                <w:rFonts w:ascii="Arial" w:hAnsi="Arial" w:cs="Arial"/>
                <w:szCs w:val="24"/>
              </w:rPr>
            </w:pPr>
            <w:r>
              <w:rPr>
                <w:rFonts w:ascii="Arial" w:hAnsi="Arial" w:cs="Arial"/>
                <w:szCs w:val="24"/>
              </w:rPr>
              <w:t>PREBID WALKTHROUGH:</w:t>
            </w:r>
          </w:p>
        </w:tc>
        <w:tc>
          <w:tcPr>
            <w:tcW w:w="5850" w:type="dxa"/>
            <w:tcBorders>
              <w:left w:val="nil"/>
              <w:right w:val="nil"/>
            </w:tcBorders>
            <w:vAlign w:val="bottom"/>
          </w:tcPr>
          <w:p w14:paraId="3B117953" w14:textId="77777777" w:rsidR="00D63138" w:rsidRDefault="007F5E4F">
            <w:pPr>
              <w:spacing w:before="120"/>
              <w:rPr>
                <w:rFonts w:ascii="Arial" w:hAnsi="Arial" w:cs="Arial"/>
                <w:b/>
                <w:szCs w:val="24"/>
              </w:rPr>
            </w:pPr>
            <w:r>
              <w:rPr>
                <w:rFonts w:ascii="Arial" w:hAnsi="Arial" w:cs="Arial"/>
                <w:b/>
                <w:szCs w:val="24"/>
              </w:rPr>
              <w:t>11:00 AM, Wednesday, March 30, 2022</w:t>
            </w:r>
          </w:p>
        </w:tc>
      </w:tr>
    </w:tbl>
    <w:p w14:paraId="3FB045B1" w14:textId="77777777" w:rsidR="00D63138" w:rsidRDefault="00D63138">
      <w:pPr>
        <w:jc w:val="both"/>
        <w:rPr>
          <w:rFonts w:ascii="Arial" w:hAnsi="Arial" w:cs="Arial"/>
          <w:szCs w:val="24"/>
        </w:rPr>
      </w:pPr>
    </w:p>
    <w:p w14:paraId="686E6573" w14:textId="77777777" w:rsidR="00D63138" w:rsidRDefault="00D63138">
      <w:pPr>
        <w:jc w:val="both"/>
        <w:rPr>
          <w:rFonts w:ascii="Arial" w:hAnsi="Arial" w:cs="Arial"/>
          <w:szCs w:val="24"/>
        </w:rPr>
      </w:pPr>
      <w:r>
        <w:rPr>
          <w:rFonts w:ascii="Arial" w:hAnsi="Arial" w:cs="Arial"/>
          <w:szCs w:val="24"/>
        </w:rPr>
        <w:t xml:space="preserve">PLANS, SPECIFICATIONS, ADDENDA, AND PLAN HOLDERS LIST: Are available on-line through Builders Exchange of Washington, Inc. at </w:t>
      </w:r>
      <w:hyperlink r:id="rId6" w:history="1">
        <w:r>
          <w:rPr>
            <w:rStyle w:val="Hyperlink"/>
            <w:rFonts w:ascii="Arial" w:hAnsi="Arial" w:cs="Arial"/>
            <w:szCs w:val="24"/>
          </w:rPr>
          <w:t>http://www.bx</w:t>
        </w:r>
        <w:r>
          <w:rPr>
            <w:rStyle w:val="Hyperlink"/>
            <w:rFonts w:ascii="Arial" w:hAnsi="Arial" w:cs="Arial"/>
            <w:szCs w:val="24"/>
          </w:rPr>
          <w:t>w</w:t>
        </w:r>
        <w:r>
          <w:rPr>
            <w:rStyle w:val="Hyperlink"/>
            <w:rFonts w:ascii="Arial" w:hAnsi="Arial" w:cs="Arial"/>
            <w:szCs w:val="24"/>
          </w:rPr>
          <w:t>a.com</w:t>
        </w:r>
      </w:hyperlink>
      <w:r>
        <w:rPr>
          <w:rFonts w:ascii="Arial" w:hAnsi="Arial" w:cs="Arial"/>
          <w:szCs w:val="24"/>
        </w:rPr>
        <w:t xml:space="preserve">.  Click on “bxwa.com”; “Posted Projects”; “Public Works”, “Washington State Parks &amp; Recreation”, </w:t>
      </w:r>
      <w:r>
        <w:rPr>
          <w:rFonts w:ascii="Arial" w:hAnsi="Arial" w:cs="Arial"/>
          <w:szCs w:val="24"/>
        </w:rPr>
        <w:lastRenderedPageBreak/>
        <w:t>and “</w:t>
      </w:r>
      <w:r w:rsidR="007F5E4F" w:rsidRPr="007F5E4F">
        <w:rPr>
          <w:rFonts w:ascii="Arial" w:hAnsi="Arial" w:cs="Arial"/>
          <w:b/>
          <w:bCs/>
          <w:i/>
          <w:szCs w:val="24"/>
        </w:rPr>
        <w:t>Thursday, April 07, 2022</w:t>
      </w:r>
      <w:r>
        <w:rPr>
          <w:rFonts w:ascii="Arial" w:hAnsi="Arial" w:cs="Arial"/>
          <w:szCs w:val="24"/>
        </w:rPr>
        <w:t>”.  (Note:  Bidders are encouraged to “Register as a Bidder”, in order to receive automatic email notification of future addenda and to be placed on the “Bidders List”.  This service is provided free of charge to Prime Bidders, Subcontractors, &amp; Vendors bidding this project.)</w:t>
      </w:r>
    </w:p>
    <w:p w14:paraId="6E36D7EC" w14:textId="77777777" w:rsidR="00D63138" w:rsidRDefault="00D63138">
      <w:pPr>
        <w:jc w:val="both"/>
        <w:rPr>
          <w:rFonts w:ascii="Arial" w:hAnsi="Arial" w:cs="Arial"/>
          <w:i/>
          <w:szCs w:val="24"/>
          <w:highlight w:val="yellow"/>
        </w:rPr>
      </w:pPr>
    </w:p>
    <w:p w14:paraId="49066F32" w14:textId="77777777" w:rsidR="00391E58" w:rsidRPr="00391E58" w:rsidRDefault="00391E58" w:rsidP="00391E58">
      <w:pPr>
        <w:jc w:val="both"/>
        <w:rPr>
          <w:rFonts w:ascii="Arial" w:hAnsi="Arial" w:cs="Arial"/>
          <w:szCs w:val="24"/>
        </w:rPr>
      </w:pPr>
      <w:r w:rsidRPr="00391E58">
        <w:rPr>
          <w:rFonts w:ascii="Arial" w:hAnsi="Arial" w:cs="Arial"/>
          <w:szCs w:val="24"/>
        </w:rPr>
        <w:t>PLANS MAY ALSO BE VIEWED THROUGH:  Builders Exchange, Everett WA; Associated Builders And Contractors, Spokane WA; Tri City Construction Council, Kennewick WA; Daily Journal of Commerce, Seattle WA; Weekly Construction Reporter, Bellingham WA; Daily Journal Of Commerce Plan Center, Portland OR; Southwest Washington Contractors Association, Vancouver WA; Lower Columbia Contractor Plan Center, Longview WA; Inland Northwest AGC Plan Center, Spokane, WA; Abadon Reprographics, Spokane, WA; Hermiston Plan Center, Hermiston, OR; Idaho AGC, Boise, ID; McGraw Hill Plan Center, Spokane, WA; Contractor Plan Center, Milwauk</w:t>
      </w:r>
      <w:r w:rsidR="0091643B">
        <w:rPr>
          <w:rFonts w:ascii="Arial" w:hAnsi="Arial" w:cs="Arial"/>
          <w:szCs w:val="24"/>
        </w:rPr>
        <w:t>i</w:t>
      </w:r>
      <w:r w:rsidRPr="00391E58">
        <w:rPr>
          <w:rFonts w:ascii="Arial" w:hAnsi="Arial" w:cs="Arial"/>
          <w:szCs w:val="24"/>
        </w:rPr>
        <w:t>e, OR; Ridgeline Graphics, Wenatchee, WA; Spokane Regional Plan Center, Spokane, WA; Walla Walla Valley Plan Center, Yakima, WA</w:t>
      </w:r>
      <w:r w:rsidR="00817A7A">
        <w:rPr>
          <w:rFonts w:ascii="Arial" w:hAnsi="Arial" w:cs="Arial"/>
          <w:szCs w:val="24"/>
        </w:rPr>
        <w:t>; The Blue Book Building and Construction Network, Jefferson Valley, NY</w:t>
      </w:r>
      <w:r w:rsidRPr="00391E58">
        <w:rPr>
          <w:rFonts w:ascii="Arial" w:hAnsi="Arial" w:cs="Arial"/>
          <w:szCs w:val="24"/>
        </w:rPr>
        <w:t>.</w:t>
      </w:r>
    </w:p>
    <w:p w14:paraId="16E4B1C0" w14:textId="77777777" w:rsidR="00D63138" w:rsidRDefault="00D63138">
      <w:pPr>
        <w:jc w:val="both"/>
        <w:rPr>
          <w:rFonts w:ascii="Arial" w:hAnsi="Arial" w:cs="Arial"/>
          <w:color w:val="0000FF"/>
          <w:szCs w:val="24"/>
        </w:rPr>
      </w:pPr>
    </w:p>
    <w:p w14:paraId="5E83CB65" w14:textId="77777777" w:rsidR="00D63138" w:rsidRDefault="00D63138">
      <w:pPr>
        <w:jc w:val="both"/>
        <w:rPr>
          <w:rFonts w:ascii="Arial" w:hAnsi="Arial" w:cs="Arial"/>
          <w:szCs w:val="24"/>
        </w:rPr>
      </w:pPr>
      <w:r>
        <w:rPr>
          <w:rFonts w:ascii="Arial" w:hAnsi="Arial" w:cs="Arial"/>
          <w:szCs w:val="24"/>
        </w:rPr>
        <w:t xml:space="preserve">Technical questions regarding this project must be directed to </w:t>
      </w:r>
      <w:r w:rsidR="00276C7D" w:rsidRPr="00276C7D">
        <w:rPr>
          <w:rFonts w:ascii="Arial" w:hAnsi="Arial" w:cs="Arial"/>
          <w:i/>
          <w:szCs w:val="24"/>
        </w:rPr>
        <w:t>Tim Ogden, Project Representative at PBS Engineering and Environmental, Inc., 214 E. Galer St, Suite 300, Seattle, WA 98102 (206) 233-9639, tim.ogden@pbsusa.com.</w:t>
      </w:r>
    </w:p>
    <w:p w14:paraId="011EC7D3" w14:textId="77777777" w:rsidR="00FF4A57" w:rsidRDefault="00FF4A57">
      <w:pPr>
        <w:jc w:val="both"/>
        <w:rPr>
          <w:rFonts w:ascii="Arial" w:hAnsi="Arial" w:cs="Arial"/>
          <w:szCs w:val="24"/>
        </w:rPr>
      </w:pPr>
    </w:p>
    <w:p w14:paraId="14E48CDF" w14:textId="77777777" w:rsidR="00FF4A57" w:rsidRDefault="00FF4A57">
      <w:pPr>
        <w:jc w:val="both"/>
        <w:rPr>
          <w:rFonts w:ascii="Arial" w:hAnsi="Arial" w:cs="Arial"/>
          <w:szCs w:val="24"/>
        </w:rPr>
      </w:pPr>
      <w:r>
        <w:rPr>
          <w:rFonts w:ascii="Arial" w:hAnsi="Arial" w:cs="Arial"/>
          <w:szCs w:val="24"/>
        </w:rPr>
        <w:t>Bidder Responsibility will be evaluated for this project.  In determining bidder responsibility, the Owner shall consider an overall accounting of the criteria set forth in Division 00 – Instructions To Bidders.  Please direct questions regarding this subject to the office of the</w:t>
      </w:r>
      <w:r w:rsidR="00330EE0">
        <w:rPr>
          <w:rFonts w:ascii="Arial" w:hAnsi="Arial" w:cs="Arial"/>
          <w:szCs w:val="24"/>
        </w:rPr>
        <w:t xml:space="preserve"> Project Manager</w:t>
      </w:r>
      <w:r>
        <w:rPr>
          <w:rFonts w:ascii="Arial" w:hAnsi="Arial" w:cs="Arial"/>
          <w:szCs w:val="24"/>
        </w:rPr>
        <w:t>.</w:t>
      </w:r>
    </w:p>
    <w:p w14:paraId="1EFD08BA" w14:textId="77777777" w:rsidR="00D63138" w:rsidRDefault="00D63138">
      <w:pPr>
        <w:jc w:val="both"/>
        <w:rPr>
          <w:rFonts w:ascii="Arial" w:hAnsi="Arial" w:cs="Arial"/>
          <w:szCs w:val="24"/>
        </w:rPr>
      </w:pPr>
    </w:p>
    <w:p w14:paraId="6C449202" w14:textId="77777777" w:rsidR="00D63138" w:rsidRDefault="00D63138">
      <w:pPr>
        <w:jc w:val="both"/>
        <w:rPr>
          <w:rFonts w:ascii="Arial" w:hAnsi="Arial" w:cs="Arial"/>
          <w:szCs w:val="24"/>
        </w:rPr>
      </w:pPr>
      <w:r>
        <w:rPr>
          <w:rFonts w:ascii="Arial" w:hAnsi="Arial" w:cs="Arial"/>
          <w:szCs w:val="24"/>
        </w:rPr>
        <w:t xml:space="preserve">Voluntary numerical MWBE goals of 10% MBE and 6% WBE have been established for this project.  Achievement of these goals is encouraged. Bidders may contact the Office of Minority and Women's Business Enterprise to obtain information on certified firms. </w:t>
      </w:r>
    </w:p>
    <w:p w14:paraId="1DA25565" w14:textId="77777777" w:rsidR="00D63138" w:rsidRDefault="00D63138">
      <w:pPr>
        <w:jc w:val="both"/>
        <w:rPr>
          <w:rFonts w:ascii="Arial" w:hAnsi="Arial" w:cs="Arial"/>
          <w:szCs w:val="24"/>
        </w:rPr>
      </w:pPr>
    </w:p>
    <w:p w14:paraId="77B2CCE5" w14:textId="77777777" w:rsidR="00D63138" w:rsidRDefault="00D63138">
      <w:pPr>
        <w:jc w:val="both"/>
        <w:rPr>
          <w:rFonts w:ascii="Arial" w:hAnsi="Arial" w:cs="Arial"/>
          <w:szCs w:val="24"/>
        </w:rPr>
      </w:pPr>
      <w:r>
        <w:rPr>
          <w:rFonts w:ascii="Arial" w:hAnsi="Arial" w:cs="Arial"/>
          <w:szCs w:val="24"/>
        </w:rPr>
        <w:t>Washington State Parks reserves the right to accept or reject any or all proposals and to waive informalities.</w:t>
      </w:r>
    </w:p>
    <w:p w14:paraId="216B58CA" w14:textId="77777777" w:rsidR="00D63138" w:rsidRDefault="00D63138">
      <w:pPr>
        <w:jc w:val="both"/>
        <w:rPr>
          <w:rFonts w:ascii="Arial" w:hAnsi="Arial" w:cs="Arial"/>
          <w:szCs w:val="24"/>
        </w:rPr>
      </w:pPr>
    </w:p>
    <w:p w14:paraId="2E3A10EE" w14:textId="77777777" w:rsidR="00D63138" w:rsidRDefault="00D63138">
      <w:pPr>
        <w:rPr>
          <w:rFonts w:ascii="Arial" w:hAnsi="Arial" w:cs="Arial"/>
          <w:szCs w:val="24"/>
        </w:rPr>
      </w:pPr>
    </w:p>
    <w:p w14:paraId="04A8423F" w14:textId="77777777" w:rsidR="00D63138" w:rsidRDefault="00D63138">
      <w:pPr>
        <w:rPr>
          <w:rFonts w:ascii="Arial" w:hAnsi="Arial" w:cs="Arial"/>
          <w:szCs w:val="24"/>
        </w:rPr>
      </w:pPr>
      <w:r>
        <w:rPr>
          <w:rFonts w:ascii="Arial" w:hAnsi="Arial" w:cs="Arial"/>
          <w:szCs w:val="24"/>
        </w:rPr>
        <w:t>Sincerely,</w:t>
      </w:r>
    </w:p>
    <w:p w14:paraId="46021ED0" w14:textId="77777777" w:rsidR="00D63138" w:rsidRDefault="00D63138">
      <w:pPr>
        <w:rPr>
          <w:rFonts w:ascii="Arial" w:hAnsi="Arial" w:cs="Arial"/>
          <w:szCs w:val="24"/>
        </w:rPr>
      </w:pPr>
    </w:p>
    <w:p w14:paraId="5A64E6AE" w14:textId="77777777" w:rsidR="00D63138" w:rsidRDefault="00D63138">
      <w:pPr>
        <w:rPr>
          <w:rFonts w:ascii="Arial" w:hAnsi="Arial" w:cs="Arial"/>
          <w:szCs w:val="24"/>
        </w:rPr>
      </w:pPr>
    </w:p>
    <w:p w14:paraId="6BF2883C" w14:textId="77777777" w:rsidR="00D63138" w:rsidRDefault="00276C7D">
      <w:pPr>
        <w:rPr>
          <w:rFonts w:ascii="Arial" w:hAnsi="Arial" w:cs="Arial"/>
          <w:szCs w:val="24"/>
        </w:rPr>
      </w:pPr>
      <w:r>
        <w:rPr>
          <w:rFonts w:ascii="Arial" w:hAnsi="Arial" w:cs="Arial"/>
          <w:szCs w:val="24"/>
        </w:rPr>
        <w:t>Brenden Houx</w:t>
      </w:r>
      <w:r w:rsidR="00D63138">
        <w:rPr>
          <w:rFonts w:ascii="Arial" w:hAnsi="Arial" w:cs="Arial"/>
          <w:szCs w:val="24"/>
        </w:rPr>
        <w:t xml:space="preserve">, </w:t>
      </w:r>
      <w:r>
        <w:rPr>
          <w:rFonts w:ascii="Arial" w:hAnsi="Arial" w:cs="Arial"/>
          <w:szCs w:val="24"/>
        </w:rPr>
        <w:t>Contracts Specialist</w:t>
      </w:r>
    </w:p>
    <w:p w14:paraId="52615CA2" w14:textId="77777777" w:rsidR="00D63138" w:rsidRDefault="00E94635">
      <w:pPr>
        <w:rPr>
          <w:rFonts w:ascii="Arial" w:hAnsi="Arial" w:cs="Arial"/>
          <w:szCs w:val="24"/>
        </w:rPr>
      </w:pPr>
      <w:r>
        <w:rPr>
          <w:rFonts w:ascii="Arial" w:hAnsi="Arial" w:cs="Arial"/>
          <w:szCs w:val="24"/>
        </w:rPr>
        <w:t>Contracts, Grants &amp; Procurement Services</w:t>
      </w:r>
    </w:p>
    <w:p w14:paraId="7C2B8FFC" w14:textId="77777777" w:rsidR="00D63138" w:rsidRDefault="00D63138">
      <w:pPr>
        <w:rPr>
          <w:rFonts w:ascii="Arial" w:hAnsi="Arial" w:cs="Arial"/>
          <w:sz w:val="22"/>
          <w:szCs w:val="22"/>
        </w:rPr>
      </w:pPr>
    </w:p>
    <w:p w14:paraId="2E3FAE49" w14:textId="77777777" w:rsidR="00D63138" w:rsidRDefault="00D63138">
      <w:pPr>
        <w:rPr>
          <w:rFonts w:ascii="Arial" w:hAnsi="Arial" w:cs="Arial"/>
          <w:sz w:val="22"/>
          <w:szCs w:val="22"/>
        </w:rPr>
      </w:pPr>
    </w:p>
    <w:p w14:paraId="5C0DE42F" w14:textId="77777777" w:rsidR="00D63138" w:rsidRDefault="00276C7D">
      <w:pPr>
        <w:rPr>
          <w:rFonts w:ascii="Arial" w:hAnsi="Arial" w:cs="Arial"/>
          <w:b/>
          <w:sz w:val="16"/>
          <w:szCs w:val="16"/>
        </w:rPr>
      </w:pPr>
      <w:r>
        <w:rPr>
          <w:rFonts w:ascii="Arial" w:hAnsi="Arial" w:cs="Arial"/>
          <w:b/>
          <w:sz w:val="16"/>
          <w:szCs w:val="16"/>
        </w:rPr>
        <w:t>BRH</w:t>
      </w:r>
      <w:r w:rsidR="00D63138">
        <w:rPr>
          <w:rFonts w:ascii="Arial" w:hAnsi="Arial" w:cs="Arial"/>
          <w:b/>
          <w:sz w:val="16"/>
          <w:szCs w:val="16"/>
        </w:rPr>
        <w:tab/>
      </w:r>
    </w:p>
    <w:p w14:paraId="1BF7CBB9" w14:textId="77777777" w:rsidR="00D63138" w:rsidRDefault="00D63138">
      <w:pPr>
        <w:rPr>
          <w:rFonts w:ascii="Arial" w:hAnsi="Arial" w:cs="Arial"/>
          <w:b/>
          <w:sz w:val="16"/>
          <w:szCs w:val="16"/>
        </w:rPr>
      </w:pPr>
    </w:p>
    <w:p w14:paraId="0C4F3A39" w14:textId="77777777" w:rsidR="00050918" w:rsidRDefault="00D63138" w:rsidP="000C69E2">
      <w:pPr>
        <w:rPr>
          <w:rFonts w:ascii="Arial" w:hAnsi="Arial" w:cs="Arial"/>
          <w:b/>
          <w:sz w:val="16"/>
          <w:szCs w:val="16"/>
        </w:rPr>
      </w:pPr>
      <w:r>
        <w:rPr>
          <w:rFonts w:ascii="Arial" w:hAnsi="Arial" w:cs="Arial"/>
          <w:b/>
          <w:sz w:val="16"/>
          <w:szCs w:val="16"/>
        </w:rPr>
        <w:t>cc:</w:t>
      </w:r>
      <w:r>
        <w:rPr>
          <w:rFonts w:ascii="Arial" w:hAnsi="Arial" w:cs="Arial"/>
          <w:b/>
          <w:sz w:val="16"/>
          <w:szCs w:val="16"/>
        </w:rPr>
        <w:tab/>
      </w:r>
      <w:r w:rsidR="00050918">
        <w:rPr>
          <w:rFonts w:ascii="Arial" w:hAnsi="Arial" w:cs="Arial"/>
          <w:b/>
          <w:sz w:val="16"/>
          <w:szCs w:val="16"/>
        </w:rPr>
        <w:t>Erik Plunkett, Area Manager</w:t>
      </w:r>
    </w:p>
    <w:p w14:paraId="56795128" w14:textId="77777777" w:rsidR="00D63138" w:rsidRDefault="00276C7D" w:rsidP="00050918">
      <w:pPr>
        <w:ind w:firstLine="720"/>
        <w:rPr>
          <w:rFonts w:ascii="Arial" w:hAnsi="Arial" w:cs="Arial"/>
          <w:b/>
          <w:sz w:val="16"/>
          <w:szCs w:val="16"/>
        </w:rPr>
      </w:pPr>
      <w:r>
        <w:rPr>
          <w:rFonts w:ascii="Arial" w:hAnsi="Arial" w:cs="Arial"/>
          <w:b/>
          <w:sz w:val="16"/>
          <w:szCs w:val="16"/>
        </w:rPr>
        <w:t>Darrel Hopkins</w:t>
      </w:r>
      <w:r w:rsidR="00D63138">
        <w:rPr>
          <w:rFonts w:ascii="Arial" w:hAnsi="Arial" w:cs="Arial"/>
          <w:b/>
          <w:sz w:val="16"/>
          <w:szCs w:val="16"/>
        </w:rPr>
        <w:t xml:space="preserve">, </w:t>
      </w:r>
      <w:r w:rsidR="00E94635">
        <w:rPr>
          <w:rFonts w:ascii="Arial" w:hAnsi="Arial" w:cs="Arial"/>
          <w:b/>
          <w:sz w:val="16"/>
          <w:szCs w:val="16"/>
        </w:rPr>
        <w:t>Region Manager</w:t>
      </w:r>
    </w:p>
    <w:p w14:paraId="072B4B12" w14:textId="77777777" w:rsidR="00D63138" w:rsidRDefault="00276C7D">
      <w:pPr>
        <w:ind w:firstLine="720"/>
        <w:rPr>
          <w:rFonts w:ascii="Arial" w:hAnsi="Arial" w:cs="Arial"/>
          <w:b/>
          <w:sz w:val="16"/>
          <w:szCs w:val="16"/>
        </w:rPr>
      </w:pPr>
      <w:r>
        <w:rPr>
          <w:rFonts w:ascii="Arial" w:hAnsi="Arial" w:cs="Arial"/>
          <w:b/>
          <w:sz w:val="16"/>
          <w:szCs w:val="16"/>
        </w:rPr>
        <w:t>Brian Yearout</w:t>
      </w:r>
      <w:r w:rsidR="00D63138">
        <w:rPr>
          <w:rFonts w:ascii="Arial" w:hAnsi="Arial" w:cs="Arial"/>
          <w:b/>
          <w:sz w:val="16"/>
          <w:szCs w:val="16"/>
        </w:rPr>
        <w:t xml:space="preserve">, </w:t>
      </w:r>
      <w:r w:rsidR="00E94635">
        <w:rPr>
          <w:rFonts w:ascii="Arial" w:hAnsi="Arial" w:cs="Arial"/>
          <w:b/>
          <w:sz w:val="16"/>
          <w:szCs w:val="16"/>
        </w:rPr>
        <w:t>Region CPC</w:t>
      </w:r>
    </w:p>
    <w:p w14:paraId="22EB955B" w14:textId="77777777" w:rsidR="00D63138" w:rsidRDefault="00050918">
      <w:pPr>
        <w:ind w:firstLine="720"/>
        <w:rPr>
          <w:rFonts w:ascii="Arial" w:hAnsi="Arial" w:cs="Arial"/>
          <w:b/>
          <w:sz w:val="16"/>
          <w:szCs w:val="16"/>
        </w:rPr>
      </w:pPr>
      <w:r>
        <w:rPr>
          <w:rFonts w:ascii="Arial" w:hAnsi="Arial" w:cs="Arial"/>
          <w:b/>
          <w:sz w:val="16"/>
          <w:szCs w:val="16"/>
        </w:rPr>
        <w:t>Tim Ogden</w:t>
      </w:r>
      <w:r w:rsidR="00D63138">
        <w:rPr>
          <w:rFonts w:ascii="Arial" w:hAnsi="Arial" w:cs="Arial"/>
          <w:b/>
          <w:sz w:val="16"/>
          <w:szCs w:val="16"/>
        </w:rPr>
        <w:t xml:space="preserve">, Project Representative </w:t>
      </w:r>
    </w:p>
    <w:p w14:paraId="42CD9727" w14:textId="77777777" w:rsidR="00D63138" w:rsidRDefault="00D63138">
      <w:pPr>
        <w:ind w:firstLine="720"/>
        <w:rPr>
          <w:rFonts w:ascii="Arial" w:hAnsi="Arial" w:cs="Arial"/>
          <w:b/>
          <w:sz w:val="16"/>
          <w:szCs w:val="16"/>
        </w:rPr>
      </w:pPr>
      <w:r>
        <w:rPr>
          <w:rFonts w:ascii="Arial" w:hAnsi="Arial" w:cs="Arial"/>
          <w:b/>
          <w:sz w:val="16"/>
          <w:szCs w:val="16"/>
        </w:rPr>
        <w:t>Park Manager</w:t>
      </w:r>
    </w:p>
    <w:p w14:paraId="642C9DDD" w14:textId="77777777" w:rsidR="00D63138" w:rsidRDefault="00D63138">
      <w:pPr>
        <w:ind w:firstLine="720"/>
        <w:rPr>
          <w:rFonts w:ascii="Arial" w:hAnsi="Arial" w:cs="Arial"/>
          <w:b/>
          <w:sz w:val="16"/>
          <w:szCs w:val="16"/>
        </w:rPr>
      </w:pPr>
      <w:r>
        <w:rPr>
          <w:rFonts w:ascii="Arial" w:hAnsi="Arial" w:cs="Arial"/>
          <w:b/>
          <w:sz w:val="16"/>
          <w:szCs w:val="16"/>
        </w:rPr>
        <w:t>OWMBE (</w:t>
      </w:r>
      <w:r w:rsidR="000C69E2">
        <w:rPr>
          <w:rFonts w:ascii="Arial" w:hAnsi="Arial" w:cs="Arial"/>
          <w:b/>
          <w:sz w:val="16"/>
          <w:szCs w:val="16"/>
        </w:rPr>
        <w:t>via e-mail</w:t>
      </w:r>
      <w:r>
        <w:rPr>
          <w:rFonts w:ascii="Arial" w:hAnsi="Arial" w:cs="Arial"/>
          <w:b/>
          <w:sz w:val="16"/>
          <w:szCs w:val="16"/>
        </w:rPr>
        <w:t>)</w:t>
      </w:r>
    </w:p>
    <w:p w14:paraId="1EB11A4D" w14:textId="77777777" w:rsidR="00D63138" w:rsidRDefault="00D63138">
      <w:pPr>
        <w:ind w:left="720" w:hanging="720"/>
        <w:rPr>
          <w:rFonts w:ascii="Arial" w:hAnsi="Arial" w:cs="Arial"/>
          <w:sz w:val="22"/>
          <w:szCs w:val="22"/>
        </w:rPr>
      </w:pPr>
    </w:p>
    <w:sectPr w:rsidR="00D63138" w:rsidSect="00050918">
      <w:headerReference w:type="even" r:id="rId7"/>
      <w:headerReference w:type="default" r:id="rId8"/>
      <w:footerReference w:type="even" r:id="rId9"/>
      <w:footerReference w:type="default" r:id="rId10"/>
      <w:headerReference w:type="first" r:id="rId11"/>
      <w:footerReference w:type="first" r:id="rId12"/>
      <w:pgSz w:w="12240" w:h="15840" w:code="1"/>
      <w:pgMar w:top="432" w:right="1440" w:bottom="810" w:left="1440" w:header="45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55045" w14:textId="77777777" w:rsidR="00FB7F7C" w:rsidRDefault="00FB7F7C">
      <w:r>
        <w:separator/>
      </w:r>
    </w:p>
  </w:endnote>
  <w:endnote w:type="continuationSeparator" w:id="0">
    <w:p w14:paraId="20A78516" w14:textId="77777777" w:rsidR="00FB7F7C" w:rsidRDefault="00FB7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2693F" w14:textId="77777777" w:rsidR="00041C59" w:rsidRDefault="00041C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FEA53" w14:textId="77777777" w:rsidR="00041C59" w:rsidRDefault="00041C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2E092" w14:textId="77777777" w:rsidR="00041C59" w:rsidRDefault="00041C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ACED9" w14:textId="77777777" w:rsidR="00FB7F7C" w:rsidRDefault="00FB7F7C">
      <w:r>
        <w:separator/>
      </w:r>
    </w:p>
  </w:footnote>
  <w:footnote w:type="continuationSeparator" w:id="0">
    <w:p w14:paraId="7A0C855A" w14:textId="77777777" w:rsidR="00FB7F7C" w:rsidRDefault="00FB7F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A6AC8" w14:textId="77777777" w:rsidR="00041C59" w:rsidRDefault="00041C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41868" w14:textId="77777777" w:rsidR="0062129C" w:rsidRDefault="0062129C">
    <w:pPr>
      <w:pStyle w:val="Header"/>
      <w:rPr>
        <w:rFonts w:ascii="Arial" w:hAnsi="Arial" w:cs="Arial"/>
        <w:sz w:val="20"/>
      </w:rPr>
    </w:pPr>
  </w:p>
  <w:p w14:paraId="3E1935EF" w14:textId="77777777" w:rsidR="0062129C" w:rsidRDefault="0062129C">
    <w:pPr>
      <w:pStyle w:val="Header"/>
      <w:rPr>
        <w:rFonts w:ascii="Arial" w:hAnsi="Arial" w:cs="Arial"/>
        <w:sz w:val="20"/>
      </w:rPr>
    </w:pPr>
    <w:r>
      <w:rPr>
        <w:rFonts w:ascii="Arial" w:hAnsi="Arial" w:cs="Arial"/>
        <w:sz w:val="20"/>
      </w:rPr>
      <w:t>Letter of Advertisement</w:t>
    </w:r>
    <w:r>
      <w:rPr>
        <w:rFonts w:ascii="Arial" w:hAnsi="Arial" w:cs="Arial"/>
        <w:sz w:val="20"/>
      </w:rPr>
      <w:tab/>
    </w:r>
    <w:r>
      <w:rPr>
        <w:rFonts w:ascii="Arial" w:hAnsi="Arial" w:cs="Arial"/>
        <w:sz w:val="20"/>
      </w:rPr>
      <w:tab/>
    </w:r>
    <w:r w:rsidR="007F5E4F">
      <w:rPr>
        <w:rFonts w:ascii="Arial" w:hAnsi="Arial" w:cs="Arial"/>
        <w:sz w:val="20"/>
      </w:rPr>
      <w:t>03/10/22</w:t>
    </w:r>
  </w:p>
  <w:p w14:paraId="6836D7BB" w14:textId="77777777" w:rsidR="0062129C" w:rsidRDefault="0062129C">
    <w:pPr>
      <w:pStyle w:val="Header"/>
      <w:rPr>
        <w:rFonts w:ascii="Arial" w:hAnsi="Arial" w:cs="Arial"/>
        <w:sz w:val="20"/>
      </w:rPr>
    </w:pPr>
  </w:p>
  <w:p w14:paraId="1AFF0CD5" w14:textId="77777777" w:rsidR="0062129C" w:rsidRDefault="0062129C">
    <w:pPr>
      <w:pStyle w:val="Header"/>
      <w:rPr>
        <w:rFonts w:ascii="Arial" w:hAnsi="Arial" w:cs="Arial"/>
        <w:sz w:val="20"/>
      </w:rPr>
    </w:pPr>
  </w:p>
  <w:p w14:paraId="459C106F" w14:textId="77777777" w:rsidR="0062129C" w:rsidRDefault="0062129C">
    <w:pPr>
      <w:pStyle w:val="Header"/>
      <w:rPr>
        <w:rFonts w:ascii="Arial" w:hAnsi="Arial" w:cs="Arial"/>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C5256" w14:textId="1DD7E7FB" w:rsidR="0062129C" w:rsidRDefault="00041C59">
    <w:pPr>
      <w:jc w:val="center"/>
      <w:rPr>
        <w:rFonts w:ascii="Trebuchet MS" w:hAnsi="Trebuchet MS"/>
        <w:color w:val="008000"/>
        <w:sz w:val="20"/>
      </w:rPr>
    </w:pPr>
    <w:r>
      <w:rPr>
        <w:noProof/>
      </w:rPr>
      <w:drawing>
        <wp:anchor distT="0" distB="0" distL="114300" distR="114300" simplePos="0" relativeHeight="251657728" behindDoc="0" locked="0" layoutInCell="1" allowOverlap="1" wp14:anchorId="1CBB3F92" wp14:editId="563DD9C3">
          <wp:simplePos x="0" y="0"/>
          <wp:positionH relativeFrom="column">
            <wp:align>center</wp:align>
          </wp:positionH>
          <wp:positionV relativeFrom="paragraph">
            <wp:posOffset>0</wp:posOffset>
          </wp:positionV>
          <wp:extent cx="678815" cy="67881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815" cy="678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8F7446" w14:textId="77777777" w:rsidR="0062129C" w:rsidRDefault="0062129C">
    <w:pPr>
      <w:jc w:val="center"/>
      <w:rPr>
        <w:rFonts w:ascii="Trebuchet MS" w:hAnsi="Trebuchet MS"/>
        <w:color w:val="008000"/>
        <w:sz w:val="20"/>
      </w:rPr>
    </w:pPr>
  </w:p>
  <w:p w14:paraId="7C6C82C2" w14:textId="77777777" w:rsidR="0062129C" w:rsidRPr="00C5114F" w:rsidRDefault="00C5114F" w:rsidP="00C5114F">
    <w:pPr>
      <w:widowControl w:val="0"/>
      <w:rPr>
        <w:rFonts w:ascii="Trebuchet MS" w:hAnsi="Trebuchet MS"/>
        <w:b/>
        <w:color w:val="008000"/>
        <w:sz w:val="20"/>
      </w:rPr>
    </w:pPr>
    <w:r>
      <w:rPr>
        <w:rFonts w:ascii="Trebuchet MS" w:hAnsi="Trebuchet MS"/>
        <w:b/>
        <w:color w:val="008000"/>
        <w:sz w:val="20"/>
      </w:rPr>
      <w:t xml:space="preserve">    </w:t>
    </w:r>
    <w:r w:rsidRPr="00C5114F">
      <w:rPr>
        <w:rFonts w:ascii="Trebuchet MS" w:hAnsi="Trebuchet MS"/>
        <w:b/>
        <w:color w:val="008000"/>
        <w:sz w:val="20"/>
      </w:rPr>
      <w:t xml:space="preserve">Don Hoch, </w:t>
    </w:r>
    <w:r w:rsidR="005F7BC2">
      <w:rPr>
        <w:rFonts w:ascii="Trebuchet MS" w:hAnsi="Trebuchet MS"/>
        <w:b/>
        <w:color w:val="008000"/>
        <w:sz w:val="20"/>
      </w:rPr>
      <w:t xml:space="preserve">Acting </w:t>
    </w:r>
    <w:r w:rsidRPr="00C5114F">
      <w:rPr>
        <w:rFonts w:ascii="Trebuchet MS" w:hAnsi="Trebuchet MS"/>
        <w:b/>
        <w:color w:val="008000"/>
        <w:sz w:val="20"/>
      </w:rPr>
      <w:t>Director</w:t>
    </w:r>
  </w:p>
  <w:p w14:paraId="69E14ACE" w14:textId="77777777" w:rsidR="0062129C" w:rsidRDefault="0062129C">
    <w:pPr>
      <w:jc w:val="center"/>
      <w:rPr>
        <w:rFonts w:ascii="Trebuchet MS" w:hAnsi="Trebuchet MS"/>
        <w:color w:val="008000"/>
        <w:sz w:val="10"/>
        <w:szCs w:val="10"/>
      </w:rPr>
    </w:pPr>
  </w:p>
  <w:p w14:paraId="02FFA445" w14:textId="77777777" w:rsidR="0062129C" w:rsidRDefault="0062129C">
    <w:pPr>
      <w:jc w:val="center"/>
      <w:rPr>
        <w:rFonts w:ascii="Trebuchet MS" w:hAnsi="Trebuchet MS"/>
        <w:color w:val="008000"/>
        <w:sz w:val="10"/>
        <w:szCs w:val="10"/>
      </w:rPr>
    </w:pPr>
  </w:p>
  <w:p w14:paraId="244D9FF8" w14:textId="77777777" w:rsidR="00C5114F" w:rsidRDefault="00C5114F">
    <w:pPr>
      <w:jc w:val="center"/>
      <w:rPr>
        <w:rFonts w:ascii="Trebuchet MS" w:hAnsi="Trebuchet MS"/>
        <w:color w:val="008000"/>
        <w:sz w:val="10"/>
        <w:szCs w:val="10"/>
      </w:rPr>
    </w:pPr>
  </w:p>
  <w:p w14:paraId="50FEA9B6" w14:textId="77777777" w:rsidR="0062129C" w:rsidRDefault="0062129C">
    <w:pPr>
      <w:jc w:val="center"/>
      <w:rPr>
        <w:rFonts w:ascii="Trebuchet MS" w:hAnsi="Trebuchet MS"/>
        <w:b/>
        <w:color w:val="008000"/>
        <w:sz w:val="10"/>
        <w:szCs w:val="10"/>
      </w:rPr>
    </w:pPr>
  </w:p>
  <w:p w14:paraId="54C199EF" w14:textId="77777777" w:rsidR="0062129C" w:rsidRDefault="0062129C">
    <w:pPr>
      <w:widowControl w:val="0"/>
      <w:jc w:val="center"/>
      <w:rPr>
        <w:rFonts w:ascii="Trebuchet MS" w:hAnsi="Trebuchet MS"/>
        <w:b/>
        <w:color w:val="008000"/>
        <w:sz w:val="20"/>
      </w:rPr>
    </w:pPr>
    <w:r>
      <w:rPr>
        <w:rFonts w:ascii="Trebuchet MS" w:hAnsi="Trebuchet MS"/>
        <w:b/>
        <w:color w:val="008000"/>
        <w:sz w:val="20"/>
      </w:rPr>
      <w:t>STATE OF WASHINGTON</w:t>
    </w:r>
  </w:p>
  <w:p w14:paraId="223B5877" w14:textId="77777777" w:rsidR="0062129C" w:rsidRDefault="0062129C">
    <w:pPr>
      <w:widowControl w:val="0"/>
      <w:jc w:val="center"/>
      <w:rPr>
        <w:rFonts w:ascii="Trebuchet MS" w:hAnsi="Trebuchet MS"/>
        <w:b/>
        <w:color w:val="008000"/>
        <w:sz w:val="32"/>
        <w:szCs w:val="32"/>
      </w:rPr>
    </w:pPr>
    <w:r>
      <w:rPr>
        <w:rFonts w:ascii="Trebuchet MS" w:hAnsi="Trebuchet MS"/>
        <w:b/>
        <w:color w:val="008000"/>
        <w:sz w:val="32"/>
        <w:szCs w:val="32"/>
      </w:rPr>
      <w:t>WASHINGTON STATE PARKS AND RECREATION COMMISSION</w:t>
    </w:r>
  </w:p>
  <w:p w14:paraId="59BDA39F" w14:textId="77777777" w:rsidR="0062129C" w:rsidRDefault="0062129C">
    <w:pPr>
      <w:widowControl w:val="0"/>
      <w:jc w:val="center"/>
      <w:rPr>
        <w:rFonts w:ascii="Trebuchet MS" w:hAnsi="Trebuchet MS"/>
        <w:b/>
        <w:i/>
        <w:color w:val="008000"/>
        <w:sz w:val="18"/>
        <w:szCs w:val="18"/>
      </w:rPr>
    </w:pPr>
    <w:r>
      <w:rPr>
        <w:rFonts w:ascii="Trebuchet MS" w:hAnsi="Trebuchet MS"/>
        <w:b/>
        <w:i/>
        <w:color w:val="008000"/>
        <w:sz w:val="18"/>
        <w:szCs w:val="18"/>
      </w:rPr>
      <w:t xml:space="preserve">1111 Israel Road SW </w:t>
    </w:r>
    <w:r>
      <w:rPr>
        <w:rFonts w:ascii="Trebuchet MS" w:hAnsi="Trebuchet MS"/>
        <w:b/>
        <w:i/>
        <w:color w:val="008000"/>
        <w:sz w:val="18"/>
        <w:szCs w:val="18"/>
      </w:rPr>
      <w:sym w:font="Symbol" w:char="F0B7"/>
    </w:r>
    <w:r>
      <w:rPr>
        <w:rFonts w:ascii="Trebuchet MS" w:hAnsi="Trebuchet MS"/>
        <w:b/>
        <w:i/>
        <w:color w:val="008000"/>
        <w:sz w:val="18"/>
        <w:szCs w:val="18"/>
      </w:rPr>
      <w:t xml:space="preserve"> PO Box 42650 </w:t>
    </w:r>
    <w:r>
      <w:rPr>
        <w:rFonts w:ascii="Trebuchet MS" w:hAnsi="Trebuchet MS"/>
        <w:b/>
        <w:i/>
        <w:color w:val="008000"/>
        <w:sz w:val="18"/>
        <w:szCs w:val="18"/>
      </w:rPr>
      <w:sym w:font="Symbol" w:char="F0B7"/>
    </w:r>
    <w:r>
      <w:rPr>
        <w:rFonts w:ascii="Trebuchet MS" w:hAnsi="Trebuchet MS"/>
        <w:b/>
        <w:i/>
        <w:color w:val="008000"/>
        <w:sz w:val="18"/>
        <w:szCs w:val="18"/>
      </w:rPr>
      <w:t xml:space="preserve"> Olympia, WA  98504-2650 </w:t>
    </w:r>
    <w:r>
      <w:rPr>
        <w:rFonts w:ascii="Trebuchet MS" w:hAnsi="Trebuchet MS"/>
        <w:b/>
        <w:i/>
        <w:color w:val="008000"/>
        <w:sz w:val="18"/>
        <w:szCs w:val="18"/>
      </w:rPr>
      <w:sym w:font="Symbol" w:char="F0B7"/>
    </w:r>
    <w:r>
      <w:rPr>
        <w:rFonts w:ascii="Trebuchet MS" w:hAnsi="Trebuchet MS"/>
        <w:b/>
        <w:i/>
        <w:color w:val="008000"/>
        <w:sz w:val="18"/>
        <w:szCs w:val="18"/>
      </w:rPr>
      <w:t xml:space="preserve"> (360) 902-8500</w:t>
    </w:r>
  </w:p>
  <w:p w14:paraId="5B3AF529" w14:textId="77777777" w:rsidR="0062129C" w:rsidRDefault="0062129C">
    <w:pPr>
      <w:widowControl w:val="0"/>
      <w:jc w:val="center"/>
      <w:rPr>
        <w:rFonts w:ascii="Trebuchet MS" w:hAnsi="Trebuchet MS"/>
        <w:b/>
        <w:i/>
        <w:color w:val="008000"/>
        <w:sz w:val="16"/>
        <w:szCs w:val="16"/>
      </w:rPr>
    </w:pPr>
    <w:r>
      <w:rPr>
        <w:rFonts w:ascii="Trebuchet MS" w:hAnsi="Trebuchet MS"/>
        <w:b/>
        <w:i/>
        <w:color w:val="008000"/>
        <w:sz w:val="16"/>
        <w:szCs w:val="16"/>
      </w:rPr>
      <w:t xml:space="preserve">Internet Address: http://www.parks.wa.gov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50F"/>
    <w:rsid w:val="00041C59"/>
    <w:rsid w:val="00050918"/>
    <w:rsid w:val="000C487E"/>
    <w:rsid w:val="000C69E2"/>
    <w:rsid w:val="00147A74"/>
    <w:rsid w:val="00163D2C"/>
    <w:rsid w:val="001D49A0"/>
    <w:rsid w:val="001E350F"/>
    <w:rsid w:val="00204171"/>
    <w:rsid w:val="00276C7D"/>
    <w:rsid w:val="00301077"/>
    <w:rsid w:val="00330EE0"/>
    <w:rsid w:val="00335A3F"/>
    <w:rsid w:val="00377253"/>
    <w:rsid w:val="00391E58"/>
    <w:rsid w:val="003B56DA"/>
    <w:rsid w:val="00401206"/>
    <w:rsid w:val="00425955"/>
    <w:rsid w:val="00433854"/>
    <w:rsid w:val="00451E79"/>
    <w:rsid w:val="0045580A"/>
    <w:rsid w:val="004B7653"/>
    <w:rsid w:val="004D4F3D"/>
    <w:rsid w:val="005140D9"/>
    <w:rsid w:val="00577F9A"/>
    <w:rsid w:val="00593494"/>
    <w:rsid w:val="005F7BC2"/>
    <w:rsid w:val="0062129C"/>
    <w:rsid w:val="00624854"/>
    <w:rsid w:val="006603D3"/>
    <w:rsid w:val="00693AEE"/>
    <w:rsid w:val="006B2F90"/>
    <w:rsid w:val="00700BA6"/>
    <w:rsid w:val="00743FB7"/>
    <w:rsid w:val="00785787"/>
    <w:rsid w:val="007A205A"/>
    <w:rsid w:val="007C5411"/>
    <w:rsid w:val="007D27EC"/>
    <w:rsid w:val="007F0DE9"/>
    <w:rsid w:val="007F191A"/>
    <w:rsid w:val="007F5E4F"/>
    <w:rsid w:val="00817A7A"/>
    <w:rsid w:val="00847117"/>
    <w:rsid w:val="00866367"/>
    <w:rsid w:val="008C4E08"/>
    <w:rsid w:val="0091643B"/>
    <w:rsid w:val="00950CFA"/>
    <w:rsid w:val="009612C6"/>
    <w:rsid w:val="009624FD"/>
    <w:rsid w:val="009845AD"/>
    <w:rsid w:val="009A162F"/>
    <w:rsid w:val="009E24D0"/>
    <w:rsid w:val="00AA6B3A"/>
    <w:rsid w:val="00B51B59"/>
    <w:rsid w:val="00B808A5"/>
    <w:rsid w:val="00BA13C3"/>
    <w:rsid w:val="00BA1820"/>
    <w:rsid w:val="00BA79FC"/>
    <w:rsid w:val="00BC6370"/>
    <w:rsid w:val="00BD5824"/>
    <w:rsid w:val="00BE30E1"/>
    <w:rsid w:val="00C5114F"/>
    <w:rsid w:val="00CE56BB"/>
    <w:rsid w:val="00D44529"/>
    <w:rsid w:val="00D63138"/>
    <w:rsid w:val="00D66175"/>
    <w:rsid w:val="00D72C1B"/>
    <w:rsid w:val="00D8792A"/>
    <w:rsid w:val="00DF4D2F"/>
    <w:rsid w:val="00E24543"/>
    <w:rsid w:val="00E40675"/>
    <w:rsid w:val="00E94635"/>
    <w:rsid w:val="00EA5E3D"/>
    <w:rsid w:val="00EC6DF4"/>
    <w:rsid w:val="00F44224"/>
    <w:rsid w:val="00FB7F7C"/>
    <w:rsid w:val="00FD6186"/>
    <w:rsid w:val="00FF4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3074"/>
    <o:shapelayout v:ext="edit">
      <o:idmap v:ext="edit" data="2"/>
    </o:shapelayout>
  </w:shapeDefaults>
  <w:decimalSymbol w:val="."/>
  <w:listSeparator w:val=","/>
  <w14:docId w14:val="6A4345AD"/>
  <w15:chartTrackingRefBased/>
  <w15:docId w15:val="{611B1A8E-4AF7-4958-81C4-A1AFC3368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color w:val="008000"/>
      <w:sz w:val="20"/>
    </w:rPr>
  </w:style>
  <w:style w:type="paragraph" w:styleId="Heading2">
    <w:name w:val="heading 2"/>
    <w:basedOn w:val="Normal"/>
    <w:next w:val="Normal"/>
    <w:qFormat/>
    <w:pPr>
      <w:keepNext/>
      <w:jc w:val="center"/>
      <w:outlineLvl w:val="1"/>
    </w:pPr>
    <w:rPr>
      <w:b/>
      <w:i/>
      <w:color w:val="008000"/>
      <w:sz w:val="20"/>
    </w:rPr>
  </w:style>
  <w:style w:type="paragraph" w:styleId="Heading3">
    <w:name w:val="heading 3"/>
    <w:basedOn w:val="Normal"/>
    <w:next w:val="Normal"/>
    <w:qFormat/>
    <w:pPr>
      <w:keepNext/>
      <w:jc w:val="center"/>
      <w:outlineLvl w:val="2"/>
    </w:pPr>
    <w:rPr>
      <w:i/>
      <w:color w:val="008000"/>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color w:val="008000"/>
      <w:sz w:val="20"/>
    </w:rPr>
  </w:style>
  <w:style w:type="paragraph" w:styleId="Subtitle">
    <w:name w:val="Subtitle"/>
    <w:basedOn w:val="Normal"/>
    <w:qFormat/>
    <w:pPr>
      <w:jc w:val="center"/>
    </w:pPr>
    <w:rPr>
      <w:color w:val="008000"/>
      <w:sz w:val="28"/>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FollowedHyperlink">
    <w:name w:val="FollowedHyperlink"/>
    <w:rPr>
      <w:color w:val="606420"/>
      <w:u w:val="single"/>
    </w:rPr>
  </w:style>
  <w:style w:type="paragraph" w:styleId="BalloonText">
    <w:name w:val="Balloon Text"/>
    <w:basedOn w:val="Normal"/>
    <w:link w:val="BalloonTextChar"/>
    <w:uiPriority w:val="99"/>
    <w:semiHidden/>
    <w:unhideWhenUsed/>
    <w:rsid w:val="00BA79FC"/>
    <w:rPr>
      <w:rFonts w:ascii="Tahoma" w:hAnsi="Tahoma" w:cs="Tahoma"/>
      <w:sz w:val="16"/>
      <w:szCs w:val="16"/>
    </w:rPr>
  </w:style>
  <w:style w:type="character" w:customStyle="1" w:styleId="BalloonTextChar">
    <w:name w:val="Balloon Text Char"/>
    <w:link w:val="BalloonText"/>
    <w:uiPriority w:val="99"/>
    <w:semiHidden/>
    <w:rsid w:val="00BA79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43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xwa.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Letter of Advertisement 02-08</vt:lpstr>
    </vt:vector>
  </TitlesOfParts>
  <Company>Washington State Parks</Company>
  <LinksUpToDate>false</LinksUpToDate>
  <CharactersWithSpaces>3865</CharactersWithSpaces>
  <SharedDoc>false</SharedDoc>
  <HLinks>
    <vt:vector size="6" baseType="variant">
      <vt:variant>
        <vt:i4>5242951</vt:i4>
      </vt:variant>
      <vt:variant>
        <vt:i4>0</vt:i4>
      </vt:variant>
      <vt:variant>
        <vt:i4>0</vt:i4>
      </vt:variant>
      <vt:variant>
        <vt:i4>5</vt:i4>
      </vt:variant>
      <vt:variant>
        <vt:lpwstr>http://www.bxwa.com/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of Advertisement 02-08</dc:title>
  <dc:subject/>
  <dc:creator>Contracts Team</dc:creator>
  <cp:keywords/>
  <cp:lastModifiedBy>VanBlaricom, Kelly (OMWBE)</cp:lastModifiedBy>
  <cp:revision>2</cp:revision>
  <cp:lastPrinted>2015-01-02T20:44:00Z</cp:lastPrinted>
  <dcterms:created xsi:type="dcterms:W3CDTF">2022-03-14T22:49:00Z</dcterms:created>
  <dcterms:modified xsi:type="dcterms:W3CDTF">2022-03-14T22:49:00Z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2022-02-07T23:52:21Z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e141cff2-f41c-4c6c-a68d-c4b2ed6a9c24</vt:lpwstr>
  </property>
  <property fmtid="{D5CDD505-2E9C-101B-9397-08002B2CF9AE}" pid="8" name="MSIP_Label_1520fa42-cf58-4c22-8b93-58cf1d3bd1cb_ContentBits">
    <vt:lpwstr>0</vt:lpwstr>
  </property>
</Properties>
</file>